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theme/themeOverride1.xml" ContentType="application/vnd.openxmlformats-officedocument.themeOverrid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2.xml" ContentType="application/vnd.openxmlformats-officedocument.themeOverrid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3.xml" ContentType="application/vnd.openxmlformats-officedocument.themeOverrid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4.xml" ContentType="application/vnd.openxmlformats-officedocument.themeOverrid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4941" w:rsidRDefault="00A24941" w:rsidP="00A24941"/>
    <w:p w:rsidR="00A24941" w:rsidRPr="003B297D" w:rsidRDefault="00A24941" w:rsidP="00A24941">
      <w:pPr>
        <w:rPr>
          <w:rFonts w:ascii="Arial" w:hAnsi="Arial" w:cs="Arial"/>
          <w:sz w:val="32"/>
          <w:szCs w:val="32"/>
        </w:rPr>
      </w:pPr>
      <w:r>
        <w:rPr>
          <w:noProof/>
          <w:lang w:eastAsia="es-MX"/>
        </w:rPr>
        <w:drawing>
          <wp:anchor distT="0" distB="0" distL="114300" distR="114300" simplePos="0" relativeHeight="251659264" behindDoc="1" locked="0" layoutInCell="1" allowOverlap="1" wp14:anchorId="27D072B6" wp14:editId="02CD6D56">
            <wp:simplePos x="0" y="0"/>
            <wp:positionH relativeFrom="margin">
              <wp:posOffset>0</wp:posOffset>
            </wp:positionH>
            <wp:positionV relativeFrom="paragraph">
              <wp:posOffset>353695</wp:posOffset>
            </wp:positionV>
            <wp:extent cx="5603240" cy="1866900"/>
            <wp:effectExtent l="0" t="0" r="0" b="0"/>
            <wp:wrapSquare wrapText="bothSides"/>
            <wp:docPr id="80" name="Imagen 80"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24941" w:rsidRDefault="00A24941" w:rsidP="00A24941">
      <w:pPr>
        <w:rPr>
          <w:rFonts w:ascii="Arial" w:hAnsi="Arial" w:cs="Arial"/>
          <w:sz w:val="32"/>
          <w:szCs w:val="32"/>
        </w:rPr>
      </w:pPr>
    </w:p>
    <w:p w:rsidR="00A24941" w:rsidRPr="003B297D" w:rsidRDefault="00A24941" w:rsidP="00A24941">
      <w:pPr>
        <w:rPr>
          <w:rFonts w:ascii="Arial" w:hAnsi="Arial" w:cs="Arial"/>
          <w:sz w:val="32"/>
          <w:szCs w:val="32"/>
        </w:rPr>
      </w:pPr>
    </w:p>
    <w:p w:rsidR="00A24941" w:rsidRPr="003B297D" w:rsidRDefault="00A24941" w:rsidP="00A24941">
      <w:pPr>
        <w:rPr>
          <w:rFonts w:ascii="Arial" w:hAnsi="Arial" w:cs="Arial"/>
          <w:sz w:val="32"/>
          <w:szCs w:val="32"/>
        </w:rPr>
      </w:pPr>
    </w:p>
    <w:p w:rsidR="00A24941" w:rsidRDefault="00A24941" w:rsidP="00A24941">
      <w:pPr>
        <w:jc w:val="center"/>
        <w:rPr>
          <w:rFonts w:ascii="Arial" w:hAnsi="Arial" w:cs="Arial"/>
          <w:b/>
          <w:sz w:val="32"/>
          <w:szCs w:val="32"/>
        </w:rPr>
      </w:pPr>
      <w:r w:rsidRPr="003B297D">
        <w:rPr>
          <w:rFonts w:ascii="Arial" w:hAnsi="Arial" w:cs="Arial"/>
          <w:b/>
          <w:sz w:val="32"/>
          <w:szCs w:val="32"/>
        </w:rPr>
        <w:t xml:space="preserve">ESPECIALIDAD EN </w:t>
      </w:r>
      <w:r w:rsidR="000B0CD0">
        <w:rPr>
          <w:rFonts w:ascii="Arial" w:hAnsi="Arial" w:cs="Arial"/>
          <w:b/>
          <w:sz w:val="32"/>
          <w:szCs w:val="32"/>
        </w:rPr>
        <w:t>PEDIATRÍA</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r>
        <w:rPr>
          <w:rFonts w:ascii="Arial" w:hAnsi="Arial" w:cs="Arial"/>
          <w:b/>
          <w:sz w:val="32"/>
          <w:szCs w:val="32"/>
        </w:rPr>
        <w:t>FUNDAMENTACIÓN SOCIOACADÉMICA</w:t>
      </w: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893C69" w:rsidRDefault="00893C69"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Default="00A24941" w:rsidP="00A24941">
      <w:pPr>
        <w:jc w:val="center"/>
        <w:rPr>
          <w:rFonts w:ascii="Arial" w:hAnsi="Arial" w:cs="Arial"/>
          <w:b/>
          <w:sz w:val="32"/>
          <w:szCs w:val="32"/>
        </w:rPr>
      </w:pPr>
    </w:p>
    <w:p w:rsidR="00A24941" w:rsidRPr="003B297D" w:rsidRDefault="00A24941" w:rsidP="00A24941">
      <w:pPr>
        <w:jc w:val="right"/>
        <w:rPr>
          <w:rFonts w:ascii="Arial" w:hAnsi="Arial" w:cs="Arial"/>
          <w:b/>
          <w:sz w:val="32"/>
          <w:szCs w:val="32"/>
        </w:rPr>
      </w:pPr>
      <w:r>
        <w:rPr>
          <w:rFonts w:ascii="Arial" w:hAnsi="Arial" w:cs="Arial"/>
          <w:b/>
          <w:sz w:val="32"/>
          <w:szCs w:val="32"/>
        </w:rPr>
        <w:t>Ju</w:t>
      </w:r>
      <w:r w:rsidR="00A82579">
        <w:rPr>
          <w:rFonts w:ascii="Arial" w:hAnsi="Arial" w:cs="Arial"/>
          <w:b/>
          <w:sz w:val="32"/>
          <w:szCs w:val="32"/>
        </w:rPr>
        <w:t>l</w:t>
      </w:r>
      <w:r>
        <w:rPr>
          <w:rFonts w:ascii="Arial" w:hAnsi="Arial" w:cs="Arial"/>
          <w:b/>
          <w:sz w:val="32"/>
          <w:szCs w:val="32"/>
        </w:rPr>
        <w:t>io 2019</w:t>
      </w:r>
    </w:p>
    <w:p w:rsidR="00A24941" w:rsidRDefault="00A24941" w:rsidP="00A24941">
      <w:pPr>
        <w:spacing w:after="0" w:line="360" w:lineRule="auto"/>
        <w:rPr>
          <w:rFonts w:ascii="Arial" w:hAnsi="Arial" w:cs="Arial"/>
          <w:b/>
        </w:rPr>
      </w:pPr>
      <w:r w:rsidRPr="009D1687">
        <w:rPr>
          <w:rFonts w:ascii="Arial" w:hAnsi="Arial" w:cs="Arial"/>
          <w:b/>
        </w:rPr>
        <w:lastRenderedPageBreak/>
        <w:t>INTRODUCCIÓN</w:t>
      </w:r>
    </w:p>
    <w:p w:rsidR="00AB06A4" w:rsidRPr="00AB06A4" w:rsidRDefault="00AB06A4" w:rsidP="00A24941">
      <w:pPr>
        <w:spacing w:after="0" w:line="360" w:lineRule="auto"/>
        <w:rPr>
          <w:rFonts w:ascii="Arial" w:hAnsi="Arial" w:cs="Arial"/>
        </w:rPr>
      </w:pPr>
    </w:p>
    <w:p w:rsidR="00A24941" w:rsidRDefault="00A24941" w:rsidP="00AB06A4">
      <w:pPr>
        <w:spacing w:after="240"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A24941" w:rsidRDefault="00A24941" w:rsidP="00AB06A4">
      <w:pPr>
        <w:spacing w:after="240"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A24941" w:rsidRDefault="00A24941" w:rsidP="00AB06A4">
      <w:pPr>
        <w:spacing w:after="240"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A24941" w:rsidRDefault="00A24941" w:rsidP="00AB06A4">
      <w:pPr>
        <w:spacing w:after="240"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A24941" w:rsidRDefault="00A24941" w:rsidP="00A24941">
      <w:pPr>
        <w:rPr>
          <w:rFonts w:ascii="Arial" w:hAnsi="Arial" w:cs="Arial"/>
        </w:rPr>
      </w:pPr>
      <w:r>
        <w:rPr>
          <w:rFonts w:ascii="Arial" w:hAnsi="Arial" w:cs="Arial"/>
        </w:rPr>
        <w:br w:type="page"/>
      </w:r>
    </w:p>
    <w:p w:rsidR="00A24941" w:rsidRPr="009D54C0" w:rsidRDefault="00A24941" w:rsidP="00A24941">
      <w:pPr>
        <w:spacing w:line="360" w:lineRule="auto"/>
        <w:rPr>
          <w:rFonts w:ascii="Arial" w:hAnsi="Arial" w:cs="Arial"/>
          <w:b/>
        </w:rPr>
      </w:pPr>
      <w:r>
        <w:rPr>
          <w:rFonts w:ascii="Arial" w:hAnsi="Arial" w:cs="Arial"/>
          <w:b/>
        </w:rPr>
        <w:lastRenderedPageBreak/>
        <w:t>I. FACULTAD MEXICANA DE MEDICINA</w:t>
      </w:r>
      <w:r w:rsidRPr="009D54C0">
        <w:rPr>
          <w:rFonts w:ascii="Arial" w:hAnsi="Arial" w:cs="Arial"/>
          <w:b/>
        </w:rPr>
        <w:t>, UNIVERSIDAD LA SALLE</w:t>
      </w:r>
    </w:p>
    <w:p w:rsidR="00A24941" w:rsidRPr="002D0E04" w:rsidRDefault="00A24941" w:rsidP="00545376">
      <w:pPr>
        <w:tabs>
          <w:tab w:val="left" w:pos="1695"/>
        </w:tabs>
        <w:spacing w:after="0" w:line="360" w:lineRule="auto"/>
        <w:jc w:val="both"/>
        <w:rPr>
          <w:rFonts w:ascii="Arial" w:hAnsi="Arial" w:cs="Arial"/>
          <w:b/>
        </w:rPr>
      </w:pPr>
      <w:r w:rsidRPr="002D0E04">
        <w:rPr>
          <w:rFonts w:ascii="Arial" w:hAnsi="Arial" w:cs="Arial"/>
          <w:b/>
        </w:rPr>
        <w:t>1.1. Enfoque pedagógico</w:t>
      </w:r>
    </w:p>
    <w:p w:rsidR="00A24941" w:rsidRPr="00FD48F7" w:rsidRDefault="00A24941" w:rsidP="00545376">
      <w:pPr>
        <w:tabs>
          <w:tab w:val="left" w:pos="1695"/>
        </w:tabs>
        <w:spacing w:after="24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A24941" w:rsidRDefault="00A24941" w:rsidP="00545376">
      <w:pPr>
        <w:tabs>
          <w:tab w:val="left" w:pos="1695"/>
        </w:tabs>
        <w:spacing w:after="240"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A24941" w:rsidRPr="00E4327A" w:rsidRDefault="00A24941" w:rsidP="00E36EC4">
      <w:pPr>
        <w:spacing w:after="240" w:line="360" w:lineRule="auto"/>
        <w:jc w:val="both"/>
        <w:rPr>
          <w:rFonts w:ascii="Arial" w:hAnsi="Arial" w:cs="Arial"/>
        </w:rPr>
      </w:pPr>
      <w:r w:rsidRPr="00E4327A">
        <w:rPr>
          <w:rFonts w:ascii="Arial" w:hAnsi="Arial" w:cs="Arial"/>
        </w:rPr>
        <w:t xml:space="preserve">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A24941" w:rsidRPr="00FD48F7" w:rsidRDefault="00A24941" w:rsidP="00E36EC4">
      <w:pPr>
        <w:tabs>
          <w:tab w:val="left" w:pos="1695"/>
        </w:tabs>
        <w:spacing w:after="240" w:line="360" w:lineRule="auto"/>
        <w:jc w:val="both"/>
        <w:rPr>
          <w:rFonts w:ascii="Arial" w:hAnsi="Arial" w:cs="Arial"/>
        </w:rPr>
      </w:pPr>
      <w:r w:rsidRPr="00E4327A">
        <w:rPr>
          <w:rFonts w:ascii="Arial" w:hAnsi="Arial" w:cs="Arial"/>
        </w:rPr>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A24941" w:rsidRPr="00FD48F7" w:rsidRDefault="00A24941" w:rsidP="00E36EC4">
      <w:pPr>
        <w:tabs>
          <w:tab w:val="left" w:pos="1695"/>
        </w:tabs>
        <w:spacing w:after="24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w:t>
      </w:r>
      <w:r w:rsidRPr="00FD48F7">
        <w:rPr>
          <w:rFonts w:ascii="Arial" w:hAnsi="Arial" w:cs="Arial"/>
        </w:rPr>
        <w:lastRenderedPageBreak/>
        <w:t>profesional y acciones solidarias para contribuir a la mejora en las condiciones de vida de grupos y personas menos favorecidas por las condiciones socioeconómicas.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además, el desarrollo de múltiples estrategias que fomentan el desempeño académico y, posteriormente, el profesional signado por la metacognición y la autorregulación.</w:t>
      </w:r>
    </w:p>
    <w:p w:rsidR="00A24941" w:rsidRPr="00FD48F7" w:rsidRDefault="00A24941" w:rsidP="00E36EC4">
      <w:pPr>
        <w:tabs>
          <w:tab w:val="left" w:pos="1695"/>
        </w:tabs>
        <w:spacing w:after="24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asociadas con el perfil académico profesional y con el ejercicio del campo laboral, tanto del pregrado como del posgrado, específicamente para las especialidades médicas.</w:t>
      </w:r>
    </w:p>
    <w:p w:rsidR="00A24941" w:rsidRDefault="00A24941" w:rsidP="00E36EC4">
      <w:pPr>
        <w:tabs>
          <w:tab w:val="left" w:pos="1695"/>
        </w:tabs>
        <w:spacing w:after="24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w:t>
      </w:r>
      <w:r w:rsidRPr="00FD48F7">
        <w:rPr>
          <w:rFonts w:ascii="Arial" w:hAnsi="Arial" w:cs="Arial"/>
          <w:color w:val="000000"/>
        </w:rPr>
        <w:lastRenderedPageBreak/>
        <w:t xml:space="preserve">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w:t>
      </w:r>
      <w:r w:rsidRPr="00BD052E">
        <w:rPr>
          <w:rFonts w:ascii="Arial" w:hAnsi="Arial" w:cs="Arial"/>
          <w:color w:val="000000"/>
        </w:rPr>
        <w:lastRenderedPageBreak/>
        <w:t>asimilación y circulación de los conocimientos científicos, tecnológicos y humanísticos dentro de su recinto y fuera de él para beneficio de la sociedad.</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 xml:space="preserve">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Intercambio académico.</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Servicio social profesional.</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Pastoral universitaria.</w:t>
      </w:r>
    </w:p>
    <w:p w:rsidR="00A24941" w:rsidRPr="00D12EE8"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D12EE8">
        <w:rPr>
          <w:rFonts w:ascii="Arial" w:hAnsi="Arial" w:cs="Arial"/>
          <w:color w:val="000000"/>
        </w:rPr>
        <w:t>Convenios y acuerdos de colaboración.</w:t>
      </w:r>
    </w:p>
    <w:p w:rsidR="00A24941" w:rsidRPr="00BB522B"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B522B">
        <w:rPr>
          <w:rFonts w:ascii="Arial" w:hAnsi="Arial" w:cs="Arial"/>
          <w:color w:val="000000"/>
        </w:rPr>
        <w:t>Voluntariado.</w:t>
      </w:r>
    </w:p>
    <w:p w:rsidR="00A24941" w:rsidRPr="00BD052E" w:rsidRDefault="00A24941" w:rsidP="00E36EC4">
      <w:pPr>
        <w:tabs>
          <w:tab w:val="left" w:pos="1695"/>
        </w:tabs>
        <w:spacing w:after="24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w:t>
      </w:r>
      <w:r w:rsidRPr="00BD052E">
        <w:rPr>
          <w:rFonts w:ascii="Arial" w:hAnsi="Arial" w:cs="Arial"/>
          <w:color w:val="000000"/>
        </w:rPr>
        <w:lastRenderedPageBreak/>
        <w:t>intercambios pueden efectuarse en agrupamientos diferentes (individuales, grupales, en pequeños equipos) y en modalidades educativas distintas.</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grupales</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A24941" w:rsidRPr="00BD052E" w:rsidRDefault="00A24941" w:rsidP="00545376">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rsidR="00A24941" w:rsidRPr="00BD052E" w:rsidRDefault="00A24941" w:rsidP="00545376">
      <w:pPr>
        <w:tabs>
          <w:tab w:val="left" w:pos="1695"/>
        </w:tabs>
        <w:spacing w:after="24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lastRenderedPageBreak/>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A24941" w:rsidRPr="00BD052E"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A24941" w:rsidRDefault="00A24941" w:rsidP="00E36EC4">
      <w:pPr>
        <w:tabs>
          <w:tab w:val="left" w:pos="1695"/>
        </w:tabs>
        <w:spacing w:after="24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931745" w:rsidRPr="005B6CA1" w:rsidRDefault="00A24941" w:rsidP="00E36EC4">
      <w:pPr>
        <w:spacing w:after="240" w:line="360" w:lineRule="auto"/>
        <w:rPr>
          <w:rFonts w:ascii="Arial" w:hAnsi="Arial" w:cs="Arial"/>
          <w:b/>
        </w:rPr>
      </w:pPr>
      <w:r>
        <w:rPr>
          <w:rFonts w:ascii="Arial" w:hAnsi="Arial" w:cs="Arial"/>
          <w:b/>
        </w:rPr>
        <w:t>II</w:t>
      </w:r>
      <w:r w:rsidR="00931745" w:rsidRPr="005B6CA1">
        <w:rPr>
          <w:rFonts w:ascii="Arial" w:hAnsi="Arial" w:cs="Arial"/>
          <w:b/>
        </w:rPr>
        <w:t>. IDENTIFICACIÓN DE NECESIDADES SOCIALES</w:t>
      </w:r>
    </w:p>
    <w:p w:rsidR="00931745" w:rsidRPr="005B6CA1" w:rsidRDefault="00295687" w:rsidP="00414C05">
      <w:pPr>
        <w:spacing w:after="0" w:line="360" w:lineRule="auto"/>
        <w:rPr>
          <w:rFonts w:ascii="Arial" w:hAnsi="Arial" w:cs="Arial"/>
        </w:rPr>
      </w:pPr>
      <w:r>
        <w:rPr>
          <w:rFonts w:ascii="Arial" w:hAnsi="Arial" w:cs="Arial"/>
          <w:b/>
        </w:rPr>
        <w:t>2.</w:t>
      </w:r>
      <w:r w:rsidR="00931745" w:rsidRPr="005B6CA1">
        <w:rPr>
          <w:rFonts w:ascii="Arial" w:hAnsi="Arial" w:cs="Arial"/>
          <w:b/>
        </w:rPr>
        <w:t>1.</w:t>
      </w:r>
      <w:r w:rsidR="00931745" w:rsidRPr="005B6CA1">
        <w:rPr>
          <w:rFonts w:ascii="Arial" w:hAnsi="Arial" w:cs="Arial"/>
        </w:rPr>
        <w:t xml:space="preserve"> </w:t>
      </w:r>
      <w:r w:rsidR="00893C69" w:rsidRPr="005B6CA1">
        <w:rPr>
          <w:rFonts w:ascii="Arial" w:hAnsi="Arial" w:cs="Arial"/>
          <w:b/>
        </w:rPr>
        <w:t>Perfil Demográfico</w:t>
      </w:r>
    </w:p>
    <w:p w:rsidR="00931745" w:rsidRPr="005B6CA1" w:rsidRDefault="00931745" w:rsidP="00DD00EF">
      <w:pPr>
        <w:spacing w:after="240" w:line="360" w:lineRule="auto"/>
        <w:jc w:val="both"/>
        <w:rPr>
          <w:rFonts w:ascii="Arial" w:hAnsi="Arial" w:cs="Arial"/>
        </w:rPr>
      </w:pPr>
      <w:r w:rsidRPr="005B6CA1">
        <w:rPr>
          <w:rFonts w:ascii="Arial" w:hAnsi="Arial" w:cs="Arial"/>
        </w:rPr>
        <w:t xml:space="preserve">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w:t>
      </w:r>
      <w:r w:rsidRPr="005B6CA1">
        <w:rPr>
          <w:rFonts w:ascii="Arial" w:hAnsi="Arial" w:cs="Arial"/>
        </w:rPr>
        <w:lastRenderedPageBreak/>
        <w:t>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rsidR="00931745" w:rsidRPr="005B6CA1" w:rsidRDefault="00931745" w:rsidP="00DD00EF">
      <w:pPr>
        <w:spacing w:after="240"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rsidR="00931745" w:rsidRPr="005B6CA1" w:rsidRDefault="00931745" w:rsidP="00E36EC4">
      <w:pPr>
        <w:spacing w:after="240" w:line="360" w:lineRule="auto"/>
        <w:jc w:val="both"/>
        <w:rPr>
          <w:rFonts w:ascii="Arial" w:hAnsi="Arial" w:cs="Arial"/>
        </w:rPr>
      </w:pPr>
      <w:r w:rsidRPr="005B6CA1">
        <w:rPr>
          <w:rFonts w:ascii="Arial" w:hAnsi="Arial" w:cs="Arial"/>
        </w:rPr>
        <w:t>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5B6CA1">
        <w:rPr>
          <w:rStyle w:val="Refdenotaalpie"/>
          <w:rFonts w:ascii="Arial" w:hAnsi="Arial" w:cs="Arial"/>
        </w:rPr>
        <w:footnoteReference w:id="8"/>
      </w:r>
      <w:r w:rsidRPr="005B6CA1">
        <w:rPr>
          <w:rFonts w:ascii="Arial" w:hAnsi="Arial" w:cs="Arial"/>
        </w:rPr>
        <w:t xml:space="preserve">. Por ejemplo, para el año 2019, la entidad con mayor volumen poblacional es el Estado de México con 17.2 millones de habitantes, en cambio, </w:t>
      </w:r>
      <w:r w:rsidRPr="005B6CA1">
        <w:rPr>
          <w:rFonts w:ascii="Arial" w:hAnsi="Arial" w:cs="Arial"/>
        </w:rPr>
        <w:lastRenderedPageBreak/>
        <w:t>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9"/>
      </w:r>
      <w:r w:rsidRPr="005B6CA1">
        <w:rPr>
          <w:rFonts w:ascii="Arial" w:hAnsi="Arial" w:cs="Arial"/>
        </w:rPr>
        <w:t>.</w:t>
      </w:r>
    </w:p>
    <w:p w:rsidR="00931745" w:rsidRPr="00526E8D" w:rsidRDefault="00931745" w:rsidP="00931745">
      <w:pPr>
        <w:spacing w:line="360" w:lineRule="auto"/>
        <w:jc w:val="center"/>
        <w:rPr>
          <w:rFonts w:ascii="Arial" w:hAnsi="Arial" w:cs="Arial"/>
          <w:b/>
        </w:rPr>
      </w:pPr>
      <w:r w:rsidRPr="00526E8D">
        <w:rPr>
          <w:rFonts w:ascii="Arial" w:hAnsi="Arial" w:cs="Arial"/>
          <w:b/>
        </w:rPr>
        <w:t>Gráfica 1. Estructura etaria en México, 2019 y 2050.</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19DBD8A1" wp14:editId="22124E24">
            <wp:extent cx="4572000" cy="2736000"/>
            <wp:effectExtent l="0" t="0" r="0" b="762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31745" w:rsidRPr="009762E7" w:rsidRDefault="00931745" w:rsidP="00E96174">
      <w:pPr>
        <w:spacing w:after="0" w:line="240" w:lineRule="auto"/>
        <w:ind w:left="1416" w:firstLine="708"/>
        <w:jc w:val="both"/>
        <w:rPr>
          <w:rFonts w:ascii="Arial" w:hAnsi="Arial" w:cs="Arial"/>
          <w:sz w:val="20"/>
        </w:rPr>
      </w:pPr>
      <w:r w:rsidRPr="009762E7">
        <w:rPr>
          <w:rFonts w:ascii="Arial" w:hAnsi="Arial" w:cs="Arial"/>
          <w:b/>
          <w:sz w:val="18"/>
        </w:rPr>
        <w:t>Fuente:</w:t>
      </w:r>
      <w:r w:rsidRPr="009762E7">
        <w:rPr>
          <w:rFonts w:ascii="Arial" w:hAnsi="Arial" w:cs="Arial"/>
          <w:sz w:val="18"/>
        </w:rPr>
        <w:t xml:space="preserve"> Elaboración propia con base en CONAPO (2018).</w:t>
      </w:r>
      <w:r w:rsidRPr="009762E7">
        <w:rPr>
          <w:rFonts w:ascii="Arial" w:hAnsi="Arial" w:cs="Arial"/>
          <w:sz w:val="20"/>
        </w:rPr>
        <w:t xml:space="preserve"> </w:t>
      </w:r>
    </w:p>
    <w:p w:rsidR="00E36EC4" w:rsidRDefault="00E36EC4" w:rsidP="00931745">
      <w:pPr>
        <w:spacing w:line="360" w:lineRule="auto"/>
        <w:jc w:val="both"/>
        <w:rPr>
          <w:rFonts w:ascii="Arial" w:hAnsi="Arial" w:cs="Arial"/>
        </w:rPr>
      </w:pPr>
    </w:p>
    <w:p w:rsidR="00931745" w:rsidRPr="005B6CA1" w:rsidRDefault="00931745" w:rsidP="0093174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Al respecto, la Zona Metropolitana de la Ciudad de México (ZMCM) merece especial atención ya que, además de ser el corazón político y económico de una vasta región</w:t>
      </w:r>
      <w:r w:rsidR="00FF6B6A">
        <w:rPr>
          <w:rFonts w:ascii="Arial" w:hAnsi="Arial" w:cs="Arial"/>
        </w:rPr>
        <w:t>-</w:t>
      </w:r>
      <w:r w:rsidRPr="005B6CA1">
        <w:rPr>
          <w:rFonts w:ascii="Arial" w:hAnsi="Arial" w:cs="Arial"/>
        </w:rPr>
        <w:t>país, se ha consolidado como la principal urbe del país (y una de las más pobladas del planeta). Además, la ZMCM constituye una importante área de influencia directa de la Universidad La Salle.</w:t>
      </w:r>
    </w:p>
    <w:p w:rsidR="00931745" w:rsidRDefault="00931745" w:rsidP="00931745">
      <w:pPr>
        <w:spacing w:line="360" w:lineRule="auto"/>
        <w:jc w:val="both"/>
        <w:rPr>
          <w:rFonts w:ascii="Arial" w:hAnsi="Arial" w:cs="Arial"/>
        </w:rPr>
      </w:pPr>
      <w:r w:rsidRPr="005B6CA1">
        <w:rPr>
          <w:rFonts w:ascii="Arial" w:hAnsi="Arial" w:cs="Arial"/>
        </w:rPr>
        <w:lastRenderedPageBreak/>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rsidR="00931745" w:rsidRPr="005B6CA1" w:rsidRDefault="00931745" w:rsidP="0093174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334C70A7" wp14:editId="168A8BA4">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31745" w:rsidRPr="005B6CA1" w:rsidRDefault="00931745" w:rsidP="00E96174">
      <w:pPr>
        <w:spacing w:after="0" w:line="360" w:lineRule="auto"/>
        <w:ind w:left="1416" w:firstLine="708"/>
        <w:jc w:val="both"/>
        <w:rPr>
          <w:rFonts w:ascii="Arial" w:hAnsi="Arial" w:cs="Arial"/>
        </w:rPr>
      </w:pPr>
      <w:r w:rsidRPr="009762E7">
        <w:rPr>
          <w:rFonts w:ascii="Arial" w:hAnsi="Arial" w:cs="Arial"/>
          <w:b/>
          <w:sz w:val="18"/>
        </w:rPr>
        <w:t>Fuente:</w:t>
      </w:r>
      <w:r w:rsidRPr="009762E7">
        <w:rPr>
          <w:rFonts w:ascii="Arial" w:hAnsi="Arial" w:cs="Arial"/>
          <w:sz w:val="18"/>
        </w:rPr>
        <w:t xml:space="preserve"> Elaboración propia con base en INEGI (2016).</w:t>
      </w:r>
      <w:r w:rsidRPr="009762E7">
        <w:rPr>
          <w:rFonts w:ascii="Arial" w:hAnsi="Arial" w:cs="Arial"/>
          <w:sz w:val="20"/>
        </w:rPr>
        <w:t xml:space="preserve"> </w:t>
      </w:r>
    </w:p>
    <w:p w:rsidR="00FF6B6A" w:rsidRDefault="00FF6B6A" w:rsidP="00FF6B6A">
      <w:pPr>
        <w:spacing w:after="0" w:line="360" w:lineRule="auto"/>
        <w:jc w:val="both"/>
        <w:rPr>
          <w:rFonts w:ascii="Arial" w:hAnsi="Arial" w:cs="Arial"/>
        </w:rPr>
      </w:pPr>
    </w:p>
    <w:p w:rsidR="00931745" w:rsidRDefault="00931745" w:rsidP="00FF6B6A">
      <w:pPr>
        <w:spacing w:after="0" w:line="360" w:lineRule="auto"/>
        <w:jc w:val="both"/>
        <w:rPr>
          <w:rFonts w:ascii="Arial" w:hAnsi="Arial" w:cs="Arial"/>
        </w:rPr>
      </w:pPr>
      <w:r w:rsidRPr="005B6CA1">
        <w:rPr>
          <w:rFonts w:ascii="Arial" w:hAnsi="Arial" w:cs="Arial"/>
        </w:rPr>
        <w:t xml:space="preserve">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w:t>
      </w:r>
      <w:r w:rsidRPr="005B6CA1">
        <w:rPr>
          <w:rFonts w:ascii="Arial" w:hAnsi="Arial" w:cs="Arial"/>
        </w:rPr>
        <w:lastRenderedPageBreak/>
        <w:t>salud</w:t>
      </w:r>
      <w:r w:rsidRPr="005B6CA1">
        <w:rPr>
          <w:rStyle w:val="Refdenotaalpie"/>
          <w:rFonts w:ascii="Arial" w:hAnsi="Arial" w:cs="Arial"/>
        </w:rPr>
        <w:footnoteReference w:id="12"/>
      </w:r>
      <w:r w:rsidRPr="005B6CA1">
        <w:rPr>
          <w:rFonts w:ascii="Arial" w:hAnsi="Arial" w:cs="Arial"/>
        </w:rPr>
        <w:t>. El proceso de metropolización ha incorporado unidades político-administrativas adyacentes como resultado de mecanismos expulsores generados por la propia dinámica económica y social de la ciudad central. Muestra de ello es que el proceso de envejecimiento se revela un</w:t>
      </w:r>
      <w:r w:rsidR="00613B49">
        <w:rPr>
          <w:rFonts w:ascii="Arial" w:hAnsi="Arial" w:cs="Arial"/>
        </w:rPr>
        <w:t>a estructura monocéntrica (</w:t>
      </w:r>
      <w:r w:rsidRPr="005B6CA1">
        <w:rPr>
          <w:rFonts w:ascii="Arial" w:hAnsi="Arial" w:cs="Arial"/>
        </w:rPr>
        <w:t xml:space="preserve">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FF6B6A" w:rsidRDefault="00FF6B6A" w:rsidP="00FF6B6A">
      <w:pPr>
        <w:spacing w:after="0" w:line="360" w:lineRule="auto"/>
        <w:jc w:val="both"/>
        <w:rPr>
          <w:rFonts w:ascii="Arial" w:hAnsi="Arial" w:cs="Arial"/>
        </w:rPr>
      </w:pPr>
    </w:p>
    <w:p w:rsidR="00931745" w:rsidRPr="005B6CA1" w:rsidRDefault="00931745" w:rsidP="00FF6B6A">
      <w:pPr>
        <w:spacing w:after="0" w:line="24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rsidR="00931745" w:rsidRPr="005B6CA1" w:rsidRDefault="00931745" w:rsidP="00FF6B6A">
      <w:pPr>
        <w:spacing w:after="0" w:line="240" w:lineRule="auto"/>
        <w:jc w:val="center"/>
        <w:rPr>
          <w:rFonts w:ascii="Arial" w:hAnsi="Arial" w:cs="Arial"/>
        </w:rPr>
      </w:pPr>
      <w:r w:rsidRPr="005B6CA1">
        <w:rPr>
          <w:rFonts w:ascii="Arial" w:hAnsi="Arial" w:cs="Arial"/>
          <w:noProof/>
          <w:lang w:eastAsia="es-MX"/>
        </w:rPr>
        <w:drawing>
          <wp:inline distT="0" distB="0" distL="0" distR="0" wp14:anchorId="5C1BC54E" wp14:editId="306D1A0D">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931745" w:rsidRPr="009762E7" w:rsidRDefault="00931745" w:rsidP="00E96174">
      <w:pPr>
        <w:spacing w:after="0" w:line="240" w:lineRule="auto"/>
        <w:ind w:left="1416" w:firstLine="708"/>
        <w:jc w:val="both"/>
        <w:rPr>
          <w:rFonts w:ascii="Arial" w:hAnsi="Arial" w:cs="Arial"/>
          <w:sz w:val="18"/>
        </w:rPr>
      </w:pPr>
      <w:r w:rsidRPr="009762E7">
        <w:rPr>
          <w:rFonts w:ascii="Arial" w:hAnsi="Arial" w:cs="Arial"/>
          <w:b/>
          <w:sz w:val="18"/>
        </w:rPr>
        <w:t>Fuente:</w:t>
      </w:r>
      <w:r w:rsidRPr="009762E7">
        <w:rPr>
          <w:rFonts w:ascii="Arial" w:hAnsi="Arial" w:cs="Arial"/>
          <w:sz w:val="18"/>
        </w:rPr>
        <w:t xml:space="preserve"> Elaboración propia con base en </w:t>
      </w:r>
      <w:r>
        <w:rPr>
          <w:rFonts w:ascii="Arial" w:hAnsi="Arial" w:cs="Arial"/>
          <w:sz w:val="18"/>
        </w:rPr>
        <w:t>INEGI (2016</w:t>
      </w:r>
      <w:r w:rsidRPr="009762E7">
        <w:rPr>
          <w:rFonts w:ascii="Arial" w:hAnsi="Arial" w:cs="Arial"/>
          <w:sz w:val="18"/>
        </w:rPr>
        <w:t>).</w:t>
      </w:r>
    </w:p>
    <w:p w:rsidR="00FF6B6A" w:rsidRDefault="00FF6B6A" w:rsidP="00295687">
      <w:pPr>
        <w:spacing w:after="240" w:line="360" w:lineRule="auto"/>
        <w:jc w:val="both"/>
        <w:rPr>
          <w:rFonts w:ascii="Arial" w:hAnsi="Arial" w:cs="Arial"/>
        </w:rPr>
      </w:pPr>
    </w:p>
    <w:p w:rsidR="00931745" w:rsidRPr="005B6CA1" w:rsidRDefault="00931745" w:rsidP="00295687">
      <w:pPr>
        <w:spacing w:after="240"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xml:space="preserve">. La transición demográfica, junto con la epidemiológica, han llevado a una rápida tendencia hacia el envejecimiento poblacional del país y de la ZMCM, acompañado </w:t>
      </w:r>
      <w:r w:rsidRPr="005B6CA1">
        <w:rPr>
          <w:rFonts w:ascii="Arial" w:hAnsi="Arial" w:cs="Arial"/>
        </w:rPr>
        <w:lastRenderedPageBreak/>
        <w:t>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931745" w:rsidRDefault="00931745" w:rsidP="0032506D">
      <w:pPr>
        <w:spacing w:after="240"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931745" w:rsidRPr="005B6CA1" w:rsidRDefault="00295687" w:rsidP="00FC7B12">
      <w:pPr>
        <w:spacing w:after="0" w:line="360" w:lineRule="auto"/>
        <w:rPr>
          <w:rFonts w:ascii="Arial" w:hAnsi="Arial" w:cs="Arial"/>
        </w:rPr>
      </w:pPr>
      <w:r>
        <w:rPr>
          <w:rFonts w:ascii="Arial" w:hAnsi="Arial" w:cs="Arial"/>
          <w:b/>
        </w:rPr>
        <w:t>2.</w:t>
      </w:r>
      <w:r w:rsidR="00931745">
        <w:rPr>
          <w:rFonts w:ascii="Arial" w:hAnsi="Arial" w:cs="Arial"/>
          <w:b/>
        </w:rPr>
        <w:t>2</w:t>
      </w:r>
      <w:r w:rsidR="00931745" w:rsidRPr="005B6CA1">
        <w:rPr>
          <w:rFonts w:ascii="Arial" w:hAnsi="Arial" w:cs="Arial"/>
          <w:b/>
        </w:rPr>
        <w:t>.</w:t>
      </w:r>
      <w:r w:rsidR="00931745" w:rsidRPr="005B6CA1">
        <w:rPr>
          <w:rFonts w:ascii="Arial" w:hAnsi="Arial" w:cs="Arial"/>
        </w:rPr>
        <w:t xml:space="preserve"> </w:t>
      </w:r>
      <w:r w:rsidR="00E34AC6" w:rsidRPr="005B6CA1">
        <w:rPr>
          <w:rFonts w:ascii="Arial" w:hAnsi="Arial" w:cs="Arial"/>
          <w:b/>
        </w:rPr>
        <w:t xml:space="preserve">Perfil </w:t>
      </w:r>
      <w:r w:rsidR="00E34AC6">
        <w:rPr>
          <w:rFonts w:ascii="Arial" w:hAnsi="Arial" w:cs="Arial"/>
          <w:b/>
        </w:rPr>
        <w:t xml:space="preserve">en Salud </w:t>
      </w:r>
    </w:p>
    <w:p w:rsidR="00931745" w:rsidRPr="005B6CA1" w:rsidRDefault="00931745" w:rsidP="00FC7B12">
      <w:pPr>
        <w:spacing w:after="240"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rsidR="00931745" w:rsidRPr="005B6CA1" w:rsidRDefault="00931745" w:rsidP="00FC7B12">
      <w:pPr>
        <w:spacing w:after="240" w:line="360" w:lineRule="auto"/>
        <w:jc w:val="both"/>
        <w:rPr>
          <w:rFonts w:ascii="Arial" w:hAnsi="Arial" w:cs="Arial"/>
        </w:rPr>
      </w:pPr>
      <w:r w:rsidRPr="005B6CA1">
        <w:rPr>
          <w:rFonts w:ascii="Arial" w:hAnsi="Arial" w:cs="Arial"/>
        </w:rPr>
        <w:t xml:space="preserve">El proceso dinámico en el cual los patrones de salud y enfermedad, así como la respuesta social organizada a dichas condiciones,  se han ido transformando en respuesta a cambios más amplios de índole demográfica, socioeconómica, tecnológica, política, cultural y biológica, se le considera como la transición en salud. Este último concepto está integrado </w:t>
      </w:r>
      <w:r w:rsidRPr="005B6CA1">
        <w:rPr>
          <w:rFonts w:ascii="Arial" w:hAnsi="Arial" w:cs="Arial"/>
        </w:rPr>
        <w:lastRenderedPageBreak/>
        <w:t>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rsidR="00931745" w:rsidRPr="005B6CA1" w:rsidRDefault="00931745" w:rsidP="00FC7B12">
      <w:pPr>
        <w:spacing w:after="0" w:line="360" w:lineRule="auto"/>
        <w:rPr>
          <w:rFonts w:ascii="Arial" w:hAnsi="Arial" w:cs="Arial"/>
        </w:rPr>
      </w:pPr>
      <w:r>
        <w:rPr>
          <w:rFonts w:ascii="Arial" w:hAnsi="Arial" w:cs="Arial"/>
          <w:b/>
        </w:rPr>
        <w:t>2</w:t>
      </w:r>
      <w:r w:rsidRPr="005B6CA1">
        <w:rPr>
          <w:rFonts w:ascii="Arial" w:hAnsi="Arial" w:cs="Arial"/>
          <w:b/>
        </w:rPr>
        <w:t>.</w:t>
      </w:r>
      <w:r w:rsidR="00295687">
        <w:rPr>
          <w:rFonts w:ascii="Arial" w:hAnsi="Arial" w:cs="Arial"/>
          <w:b/>
        </w:rPr>
        <w:t>3</w:t>
      </w:r>
      <w:r w:rsidRPr="005B6CA1">
        <w:rPr>
          <w:rFonts w:ascii="Arial" w:hAnsi="Arial" w:cs="Arial"/>
        </w:rPr>
        <w:t xml:space="preserve"> </w:t>
      </w:r>
      <w:r w:rsidR="00E34AC6">
        <w:rPr>
          <w:rFonts w:ascii="Arial" w:hAnsi="Arial" w:cs="Arial"/>
          <w:b/>
        </w:rPr>
        <w:t>Morbilidad</w:t>
      </w:r>
    </w:p>
    <w:p w:rsidR="00931745" w:rsidRPr="005B6CA1" w:rsidRDefault="00931745" w:rsidP="0032506D">
      <w:pPr>
        <w:spacing w:after="240"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5B6CA1">
        <w:rPr>
          <w:rFonts w:ascii="Arial" w:hAnsi="Arial" w:cs="Arial"/>
          <w:i/>
        </w:rPr>
        <w:t>et al</w:t>
      </w:r>
      <w:r w:rsidRPr="005B6CA1">
        <w:rPr>
          <w:rFonts w:ascii="Arial" w:hAnsi="Arial" w:cs="Arial"/>
        </w:rPr>
        <w:t xml:space="preserve"> señala:</w:t>
      </w:r>
    </w:p>
    <w:p w:rsidR="00931745" w:rsidRPr="005B6CA1" w:rsidRDefault="00931745" w:rsidP="0032506D">
      <w:pPr>
        <w:spacing w:after="240"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rsidR="00931745" w:rsidRPr="005B6CA1" w:rsidRDefault="00931745" w:rsidP="0032506D">
      <w:pPr>
        <w:spacing w:after="240"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w:t>
      </w:r>
      <w:r w:rsidRPr="005B6CA1">
        <w:rPr>
          <w:rFonts w:ascii="Arial" w:hAnsi="Arial" w:cs="Arial"/>
        </w:rPr>
        <w:lastRenderedPageBreak/>
        <w:t>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rsidR="00931745" w:rsidRPr="00B418B4" w:rsidRDefault="00931745" w:rsidP="0093174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rsidR="00931745" w:rsidRDefault="00931745" w:rsidP="00FF6B6A">
      <w:pPr>
        <w:spacing w:after="0" w:line="240" w:lineRule="auto"/>
        <w:jc w:val="center"/>
        <w:rPr>
          <w:rFonts w:ascii="Arial" w:hAnsi="Arial" w:cs="Arial"/>
        </w:rPr>
      </w:pPr>
      <w:r>
        <w:rPr>
          <w:noProof/>
          <w:lang w:eastAsia="es-MX"/>
        </w:rPr>
        <w:drawing>
          <wp:inline distT="0" distB="0" distL="0" distR="0" wp14:anchorId="648D40F5" wp14:editId="1A01E7D9">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31745" w:rsidRPr="003D1C94" w:rsidRDefault="00931745" w:rsidP="00FF6B6A">
      <w:pPr>
        <w:spacing w:after="0" w:line="24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FF6B6A" w:rsidRDefault="00FF6B6A" w:rsidP="00FC7B12">
      <w:pPr>
        <w:spacing w:after="240" w:line="360" w:lineRule="auto"/>
        <w:jc w:val="both"/>
        <w:rPr>
          <w:rFonts w:ascii="Arial" w:hAnsi="Arial" w:cs="Arial"/>
        </w:rPr>
      </w:pPr>
    </w:p>
    <w:p w:rsidR="00931745" w:rsidRDefault="00931745" w:rsidP="00FC7B12">
      <w:pPr>
        <w:spacing w:after="240"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w:t>
      </w:r>
      <w:r>
        <w:rPr>
          <w:rFonts w:ascii="Arial" w:hAnsi="Arial" w:cs="Arial"/>
        </w:rPr>
        <w:lastRenderedPageBreak/>
        <w:t>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FF6B6A">
        <w:rPr>
          <w:rFonts w:ascii="Arial" w:hAnsi="Arial" w:cs="Arial"/>
        </w:rPr>
        <w:t>al alza</w:t>
      </w:r>
      <w:r>
        <w:rPr>
          <w:rFonts w:ascii="Arial" w:hAnsi="Arial" w:cs="Arial"/>
        </w:rPr>
        <w:t xml:space="preserve">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rsidR="00FC7B12" w:rsidRDefault="00931745" w:rsidP="00FC7B12">
      <w:pPr>
        <w:spacing w:after="240" w:line="360" w:lineRule="auto"/>
        <w:jc w:val="both"/>
        <w:rPr>
          <w:rFonts w:ascii="Arial" w:hAnsi="Arial" w:cs="Arial"/>
        </w:rPr>
      </w:pPr>
      <w:r>
        <w:rPr>
          <w:rFonts w:ascii="Arial" w:hAnsi="Arial" w:cs="Arial"/>
        </w:rPr>
        <w:t>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a la alza hasta los 64 años, aunque aún está presente en el grupo más envejecido; en hombres, la tasa más alta por diabetes se reporta en el grupo etario de 64-65 años (125.1 casos), asimismo en mujeres pero con mayores niveles (139.8). Finalmente, la hipertensión arterial es otro padecimiento que toma relevancia en la población adulta, e igualmente, con una tendencia al alza conforme la población envejece</w:t>
      </w:r>
      <w:r>
        <w:rPr>
          <w:rStyle w:val="Refdenotaalpie"/>
          <w:rFonts w:ascii="Arial" w:hAnsi="Arial" w:cs="Arial"/>
        </w:rPr>
        <w:footnoteReference w:id="23"/>
      </w:r>
      <w:r w:rsidR="00FC7B12">
        <w:rPr>
          <w:rFonts w:ascii="Arial" w:hAnsi="Arial" w:cs="Arial"/>
        </w:rPr>
        <w:t>.</w:t>
      </w:r>
    </w:p>
    <w:p w:rsidR="00FC7B12" w:rsidRDefault="00FC7B12">
      <w:pPr>
        <w:rPr>
          <w:rFonts w:ascii="Arial" w:hAnsi="Arial" w:cs="Arial"/>
        </w:rPr>
      </w:pPr>
      <w:r>
        <w:rPr>
          <w:rFonts w:ascii="Arial" w:hAnsi="Arial" w:cs="Arial"/>
        </w:rPr>
        <w:br w:type="page"/>
      </w:r>
    </w:p>
    <w:p w:rsidR="00FC7B12" w:rsidRDefault="00FC7B12"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56283870" wp14:editId="6009FAE6">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FC7B12" w:rsidRDefault="00FC7B12" w:rsidP="00931745">
      <w:pPr>
        <w:spacing w:after="0" w:line="360" w:lineRule="auto"/>
        <w:jc w:val="both"/>
        <w:rPr>
          <w:rFonts w:ascii="Arial" w:hAnsi="Arial" w:cs="Arial"/>
        </w:rPr>
      </w:pPr>
    </w:p>
    <w:p w:rsidR="009C2DF8" w:rsidRDefault="009C2DF8" w:rsidP="00931745">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79EB3E11" wp14:editId="50B8FD53">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31745" w:rsidRDefault="00931745" w:rsidP="009C2DF8">
      <w:pPr>
        <w:spacing w:after="0" w:line="360" w:lineRule="auto"/>
        <w:rPr>
          <w:rFonts w:ascii="Arial" w:hAnsi="Arial" w:cs="Arial"/>
          <w:b/>
        </w:rPr>
      </w:pPr>
    </w:p>
    <w:p w:rsidR="00931745" w:rsidRDefault="00931745"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3D1C94" w:rsidRDefault="00931745" w:rsidP="00931745">
      <w:pPr>
        <w:spacing w:after="0" w:line="360" w:lineRule="auto"/>
        <w:jc w:val="center"/>
        <w:rPr>
          <w:rFonts w:ascii="Arial" w:hAnsi="Arial" w:cs="Arial"/>
          <w:b/>
        </w:rPr>
      </w:pPr>
      <w:r>
        <w:rPr>
          <w:rFonts w:ascii="Arial" w:hAnsi="Arial" w:cs="Arial"/>
          <w:b/>
        </w:rPr>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3DB2966" wp14:editId="69D01C7F">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C2DF8" w:rsidRDefault="009C2DF8" w:rsidP="009C2DF8">
      <w:pPr>
        <w:spacing w:after="0" w:line="360" w:lineRule="auto"/>
        <w:jc w:val="both"/>
        <w:rPr>
          <w:rFonts w:ascii="Arial" w:hAnsi="Arial" w:cs="Arial"/>
        </w:rPr>
      </w:pPr>
    </w:p>
    <w:p w:rsidR="00931745" w:rsidRPr="003D1C94" w:rsidRDefault="00931745" w:rsidP="0093174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6FE22A4C" wp14:editId="527D909B">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931745" w:rsidRPr="003D1C94" w:rsidRDefault="00931745" w:rsidP="0093174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9C2DF8" w:rsidRDefault="009C2DF8" w:rsidP="009C2DF8">
      <w:pPr>
        <w:spacing w:after="0" w:line="360" w:lineRule="auto"/>
        <w:rPr>
          <w:rFonts w:ascii="Arial" w:hAnsi="Arial" w:cs="Arial"/>
          <w:b/>
        </w:rPr>
      </w:pPr>
    </w:p>
    <w:p w:rsidR="009C2DF8" w:rsidRDefault="009C2DF8" w:rsidP="009C2DF8">
      <w:pPr>
        <w:spacing w:after="0" w:line="360" w:lineRule="auto"/>
        <w:rPr>
          <w:rFonts w:ascii="Arial" w:hAnsi="Arial" w:cs="Arial"/>
          <w:b/>
        </w:rPr>
      </w:pPr>
    </w:p>
    <w:p w:rsidR="00931745" w:rsidRPr="005B6CA1" w:rsidRDefault="00931745" w:rsidP="0032506D">
      <w:pPr>
        <w:spacing w:after="240" w:line="360" w:lineRule="auto"/>
        <w:jc w:val="both"/>
        <w:rPr>
          <w:rFonts w:ascii="Arial" w:hAnsi="Arial" w:cs="Arial"/>
        </w:rPr>
      </w:pPr>
      <w:r w:rsidRPr="005B6CA1">
        <w:rPr>
          <w:rFonts w:ascii="Arial" w:hAnsi="Arial" w:cs="Arial"/>
        </w:rPr>
        <w:lastRenderedPageBreak/>
        <w:t>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rsidR="00931745" w:rsidRPr="005B6CA1" w:rsidRDefault="00931745" w:rsidP="0032506D">
      <w:pPr>
        <w:spacing w:after="240"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rsidR="00931745" w:rsidRDefault="00931745" w:rsidP="0032506D">
      <w:pPr>
        <w:spacing w:after="240"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5B6CA1">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w:t>
      </w:r>
      <w:r w:rsidR="00FF6B6A"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931745" w:rsidRPr="005968A3" w:rsidRDefault="00931745" w:rsidP="0093174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931745" w:rsidRPr="005B6CA1" w:rsidTr="00E2796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931745" w:rsidRPr="005B6CA1" w:rsidRDefault="00931745" w:rsidP="00E27960">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rsidR="00931745" w:rsidRPr="005B6CA1"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14</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931745" w:rsidRPr="005B6CA1"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Diarreicas</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rsidR="00931745" w:rsidRPr="005B6CA1"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931745" w:rsidRPr="005B6CA1"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5B6CA1" w:rsidRDefault="00931745" w:rsidP="00E27960">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rsidR="00931745" w:rsidRPr="005B6CA1"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rsidR="00931745" w:rsidRPr="00FD4BFF" w:rsidRDefault="00931745" w:rsidP="009C2DF8">
      <w:pPr>
        <w:spacing w:line="360" w:lineRule="auto"/>
        <w:ind w:firstLine="708"/>
        <w:jc w:val="center"/>
        <w:rPr>
          <w:rFonts w:ascii="Arial" w:hAnsi="Arial" w:cs="Arial"/>
          <w:sz w:val="18"/>
        </w:rPr>
      </w:pPr>
      <w:r w:rsidRPr="00FD4BFF">
        <w:rPr>
          <w:rFonts w:ascii="Arial" w:hAnsi="Arial" w:cs="Arial"/>
          <w:b/>
          <w:sz w:val="18"/>
        </w:rPr>
        <w:t>Fuente:</w:t>
      </w:r>
      <w:r w:rsidRPr="00FD4BFF">
        <w:rPr>
          <w:rFonts w:ascii="Arial" w:hAnsi="Arial" w:cs="Arial"/>
          <w:sz w:val="18"/>
        </w:rPr>
        <w:t xml:space="preserve"> Elaboración propia con base en Lozano </w:t>
      </w:r>
      <w:r w:rsidRPr="00FD4BFF">
        <w:rPr>
          <w:rFonts w:ascii="Arial" w:hAnsi="Arial" w:cs="Arial"/>
          <w:i/>
          <w:sz w:val="18"/>
        </w:rPr>
        <w:t>et al</w:t>
      </w:r>
      <w:r w:rsidRPr="00FD4BFF">
        <w:rPr>
          <w:rFonts w:ascii="Arial" w:hAnsi="Arial" w:cs="Arial"/>
          <w:sz w:val="18"/>
        </w:rPr>
        <w:t xml:space="preserve"> (2013).</w:t>
      </w:r>
    </w:p>
    <w:p w:rsidR="00931745" w:rsidRDefault="00931745" w:rsidP="003C138F">
      <w:pPr>
        <w:spacing w:after="240"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FF6B6A"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931745" w:rsidRDefault="00931745" w:rsidP="007E2B99">
      <w:pPr>
        <w:spacing w:after="0" w:line="360" w:lineRule="auto"/>
        <w:jc w:val="both"/>
        <w:rPr>
          <w:rFonts w:ascii="Arial" w:hAnsi="Arial" w:cs="Arial"/>
          <w:b/>
        </w:rPr>
      </w:pPr>
      <w:r w:rsidRPr="005B6CA1">
        <w:rPr>
          <w:rFonts w:ascii="Arial" w:hAnsi="Arial" w:cs="Arial"/>
          <w:b/>
        </w:rPr>
        <w:t>2.</w:t>
      </w:r>
      <w:r w:rsidR="009C2DF8">
        <w:rPr>
          <w:rFonts w:ascii="Arial" w:hAnsi="Arial" w:cs="Arial"/>
          <w:b/>
        </w:rPr>
        <w:t>4</w:t>
      </w:r>
      <w:r w:rsidRPr="005B6CA1">
        <w:rPr>
          <w:rFonts w:ascii="Arial" w:hAnsi="Arial" w:cs="Arial"/>
          <w:b/>
        </w:rPr>
        <w:t xml:space="preserve"> </w:t>
      </w:r>
      <w:r w:rsidR="00E34AC6">
        <w:rPr>
          <w:rFonts w:ascii="Arial" w:hAnsi="Arial" w:cs="Arial"/>
          <w:b/>
        </w:rPr>
        <w:t>Mortalidad</w:t>
      </w:r>
      <w:r w:rsidR="00E34AC6" w:rsidRPr="005B6CA1">
        <w:rPr>
          <w:rFonts w:ascii="Arial" w:hAnsi="Arial" w:cs="Arial"/>
          <w:b/>
        </w:rPr>
        <w:t xml:space="preserve"> </w:t>
      </w:r>
    </w:p>
    <w:p w:rsidR="00931745" w:rsidRPr="005B6CA1" w:rsidRDefault="00931745" w:rsidP="007E2B99">
      <w:pPr>
        <w:spacing w:after="0"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931745" w:rsidRPr="005B6CA1" w:rsidRDefault="00931745" w:rsidP="009C2DF8">
      <w:pPr>
        <w:spacing w:after="240"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w:t>
      </w:r>
      <w:r w:rsidRPr="005B6CA1">
        <w:rPr>
          <w:rFonts w:ascii="Arial" w:hAnsi="Arial" w:cs="Arial"/>
        </w:rPr>
        <w:lastRenderedPageBreak/>
        <w:t>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rsidR="00931745" w:rsidRPr="005B6CA1" w:rsidRDefault="00931745" w:rsidP="009C2DF8">
      <w:pPr>
        <w:spacing w:after="240"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accidentes de transporte, lesiones </w:t>
      </w:r>
      <w:r w:rsidR="00FF6B6A" w:rsidRPr="005B6CA1">
        <w:rPr>
          <w:rFonts w:ascii="Arial" w:hAnsi="Arial" w:cs="Arial"/>
        </w:rPr>
        <w:t>auto infligidas</w:t>
      </w:r>
      <w:r w:rsidRPr="005B6CA1">
        <w:rPr>
          <w:rFonts w:ascii="Arial" w:hAnsi="Arial" w:cs="Arial"/>
        </w:rPr>
        <w:t xml:space="preserve"> intencionalmente y demás causas externas. Asimismo, en este grupo etario la tendencia de la sobremortalidad masculina se hace aún más evidente; por ejemplo, la primera causa de muerte para esta población son agresiones, pero la tasa de los hombres es 5.53 defunciones por cada 10,000, en cambio, el indicador de</w:t>
      </w:r>
      <w:r w:rsidR="00D862CA">
        <w:rPr>
          <w:rFonts w:ascii="Arial" w:hAnsi="Arial" w:cs="Arial"/>
        </w:rPr>
        <w:t xml:space="preserve"> mujeres es de tan sólo de 0.74</w:t>
      </w:r>
      <w:r w:rsidRPr="005B6CA1">
        <w:rPr>
          <w:rStyle w:val="Refdenotaalpie"/>
          <w:rFonts w:ascii="Arial" w:hAnsi="Arial" w:cs="Arial"/>
        </w:rPr>
        <w:footnoteReference w:id="30"/>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xml:space="preserve">), las ECNT comienzan a tomar importancia en el esquema de la mortalidad de la población mexicana, las cuales se conjugan con las causas externas. Específicamente, los hombres tienen un exceso de mortalidad, y por causas, las agresiones representan la </w:t>
      </w:r>
      <w:r w:rsidR="00FF6B6A" w:rsidRPr="005B6CA1">
        <w:rPr>
          <w:rFonts w:ascii="Arial" w:hAnsi="Arial" w:cs="Arial"/>
        </w:rPr>
        <w:t>primera causa</w:t>
      </w:r>
      <w:r w:rsidRPr="005B6CA1">
        <w:rPr>
          <w:rFonts w:ascii="Arial" w:hAnsi="Arial" w:cs="Arial"/>
        </w:rPr>
        <w:t xml:space="preserve">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5B6CA1">
        <w:rPr>
          <w:rFonts w:ascii="Arial" w:hAnsi="Arial" w:cs="Arial"/>
        </w:rPr>
        <w:lastRenderedPageBreak/>
        <w:t>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rsidR="00931745" w:rsidRPr="005B6CA1" w:rsidRDefault="00931745" w:rsidP="00AB06A4">
      <w:pPr>
        <w:spacing w:after="240"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rsidR="00931745" w:rsidRPr="005B6CA1" w:rsidRDefault="00931745" w:rsidP="00AB06A4">
      <w:pPr>
        <w:spacing w:after="240" w:line="360" w:lineRule="auto"/>
        <w:jc w:val="both"/>
        <w:rPr>
          <w:rFonts w:ascii="Arial" w:hAnsi="Arial" w:cs="Arial"/>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xml:space="preserve">), las enfermedades isquémicas del corazón son la </w:t>
      </w:r>
      <w:r w:rsidR="00AD140B" w:rsidRPr="005B6CA1">
        <w:rPr>
          <w:rFonts w:ascii="Arial" w:hAnsi="Arial" w:cs="Arial"/>
        </w:rPr>
        <w:t>primera causa</w:t>
      </w:r>
      <w:r w:rsidRPr="005B6CA1">
        <w:rPr>
          <w:rFonts w:ascii="Arial" w:hAnsi="Arial" w:cs="Arial"/>
        </w:rPr>
        <w:t xml:space="preserve">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No obstante, en vistas de transcender la perspectiva homogénea en las edades avanzadas, en este grupo etario subyace una propia estructura de mortalidad debido, principalmente, a que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931745" w:rsidRPr="00AB06A4" w:rsidRDefault="00931745" w:rsidP="00AB06A4">
      <w:pPr>
        <w:spacing w:line="360" w:lineRule="auto"/>
        <w:rPr>
          <w:rFonts w:ascii="Arial" w:hAnsi="Arial" w:cs="Arial"/>
        </w:rPr>
      </w:pPr>
    </w:p>
    <w:p w:rsidR="00931745" w:rsidRPr="00AB06A4" w:rsidRDefault="00931745" w:rsidP="00AB06A4">
      <w:pPr>
        <w:spacing w:line="360" w:lineRule="auto"/>
        <w:rPr>
          <w:rFonts w:ascii="Arial" w:hAnsi="Arial" w:cs="Arial"/>
        </w:rPr>
      </w:pP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6.</w:t>
      </w:r>
      <w:r w:rsidRPr="005B6CA1">
        <w:rPr>
          <w:rFonts w:ascii="Arial" w:hAnsi="Arial" w:cs="Arial"/>
          <w:b/>
        </w:rPr>
        <w:t xml:space="preserve"> Principales causas de mortalidad para </w:t>
      </w:r>
      <w:r>
        <w:rPr>
          <w:rFonts w:ascii="Arial" w:hAnsi="Arial" w:cs="Arial"/>
          <w:b/>
        </w:rPr>
        <w:t>la población masculina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362172D6" wp14:editId="3C3F3E21">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931745" w:rsidRPr="00845BFF" w:rsidRDefault="00931745" w:rsidP="0093174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rsidR="00AB06A4" w:rsidRPr="007D271D" w:rsidRDefault="00AB06A4" w:rsidP="00931745">
      <w:pPr>
        <w:spacing w:after="0" w:line="240" w:lineRule="auto"/>
        <w:jc w:val="center"/>
        <w:rPr>
          <w:rFonts w:ascii="Arial" w:hAnsi="Arial" w:cs="Arial"/>
          <w:b/>
          <w:sz w:val="20"/>
        </w:rPr>
      </w:pPr>
    </w:p>
    <w:p w:rsidR="00931745" w:rsidRPr="005B6CA1" w:rsidRDefault="00931745" w:rsidP="0093174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r w:rsidR="007D271D" w:rsidRPr="007D271D">
        <w:rPr>
          <w:rFonts w:ascii="Arial" w:hAnsi="Arial" w:cs="Arial"/>
          <w:noProof/>
          <w:lang w:eastAsia="es-MX"/>
        </w:rPr>
        <w:t xml:space="preserve"> </w:t>
      </w:r>
      <w:r w:rsidR="007D271D" w:rsidRPr="005B6CA1">
        <w:rPr>
          <w:rFonts w:ascii="Arial" w:hAnsi="Arial" w:cs="Arial"/>
          <w:noProof/>
          <w:lang w:eastAsia="es-MX"/>
        </w:rPr>
        <w:drawing>
          <wp:inline distT="0" distB="0" distL="0" distR="0" wp14:anchorId="4126C648" wp14:editId="079189D5">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5B6CA1" w:rsidRDefault="00931745" w:rsidP="0093174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7BC7400B" wp14:editId="25F0CDD9">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4800" cy="3600000"/>
                    </a:xfrm>
                    <a:prstGeom prst="rect">
                      <a:avLst/>
                    </a:prstGeom>
                  </pic:spPr>
                </pic:pic>
              </a:graphicData>
            </a:graphic>
          </wp:inline>
        </w:drawing>
      </w:r>
    </w:p>
    <w:p w:rsidR="00931745" w:rsidRDefault="00931745" w:rsidP="00931745">
      <w:pPr>
        <w:spacing w:after="0" w:line="24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7D271D" w:rsidRPr="00845BFF" w:rsidRDefault="007D271D" w:rsidP="00931745">
      <w:pPr>
        <w:spacing w:after="0" w:line="240" w:lineRule="auto"/>
        <w:jc w:val="center"/>
        <w:rPr>
          <w:rFonts w:ascii="Arial" w:hAnsi="Arial" w:cs="Arial"/>
          <w:b/>
          <w:sz w:val="18"/>
        </w:rPr>
      </w:pPr>
    </w:p>
    <w:p w:rsidR="00931745" w:rsidRPr="005B6CA1" w:rsidRDefault="00931745" w:rsidP="0093174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rsidR="00931745" w:rsidRPr="005B6CA1" w:rsidRDefault="00931745" w:rsidP="00931745">
      <w:pPr>
        <w:spacing w:after="0" w:line="240" w:lineRule="auto"/>
        <w:jc w:val="center"/>
        <w:rPr>
          <w:rFonts w:ascii="Arial" w:hAnsi="Arial" w:cs="Arial"/>
          <w:b/>
        </w:rPr>
      </w:pPr>
      <w:r w:rsidRPr="005B6CA1">
        <w:rPr>
          <w:rFonts w:ascii="Arial" w:hAnsi="Arial" w:cs="Arial"/>
          <w:noProof/>
          <w:lang w:eastAsia="es-MX"/>
        </w:rPr>
        <w:drawing>
          <wp:inline distT="0" distB="0" distL="0" distR="0" wp14:anchorId="2215CE62" wp14:editId="399B4331">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931745" w:rsidRPr="00845BFF" w:rsidRDefault="00931745" w:rsidP="0093174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931745" w:rsidRPr="00754DBB" w:rsidRDefault="007D271D" w:rsidP="007E2B99">
      <w:pPr>
        <w:spacing w:after="0" w:line="360" w:lineRule="auto"/>
        <w:jc w:val="both"/>
        <w:rPr>
          <w:rFonts w:ascii="Arial" w:hAnsi="Arial" w:cs="Arial"/>
          <w:b/>
        </w:rPr>
      </w:pPr>
      <w:r>
        <w:rPr>
          <w:rFonts w:ascii="Arial" w:hAnsi="Arial" w:cs="Arial"/>
          <w:b/>
        </w:rPr>
        <w:lastRenderedPageBreak/>
        <w:t>2.5</w:t>
      </w:r>
      <w:r w:rsidR="00931745" w:rsidRPr="00754DBB">
        <w:rPr>
          <w:rFonts w:ascii="Arial" w:hAnsi="Arial" w:cs="Arial"/>
          <w:b/>
        </w:rPr>
        <w:t xml:space="preserve">. Provisión global de especialistas y servicios de </w:t>
      </w:r>
      <w:r w:rsidR="003C3ABD">
        <w:rPr>
          <w:rFonts w:ascii="Arial" w:hAnsi="Arial" w:cs="Arial"/>
          <w:b/>
        </w:rPr>
        <w:t>Pediatría</w:t>
      </w:r>
      <w:r w:rsidR="00931745">
        <w:rPr>
          <w:rFonts w:ascii="Arial" w:hAnsi="Arial" w:cs="Arial"/>
          <w:b/>
        </w:rPr>
        <w:t>.</w:t>
      </w:r>
      <w:r w:rsidR="00931745" w:rsidRPr="00754DBB">
        <w:rPr>
          <w:rFonts w:ascii="Arial" w:hAnsi="Arial" w:cs="Arial"/>
          <w:b/>
        </w:rPr>
        <w:t xml:space="preserve"> </w:t>
      </w:r>
    </w:p>
    <w:p w:rsidR="00931745" w:rsidRDefault="00931745" w:rsidP="007E2B99">
      <w:pPr>
        <w:spacing w:after="0"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xml:space="preserve">. Asimismo, es importante mencionar que en México; al respecto, el promedio de proporciones de la </w:t>
      </w:r>
      <w:r w:rsidRPr="003C3ABD">
        <w:rPr>
          <w:rFonts w:ascii="Arial" w:hAnsi="Arial" w:cs="Arial"/>
          <w:b/>
        </w:rPr>
        <w:t>Organización para la Cooperación y el Desarrollo Económicos</w:t>
      </w:r>
      <w:r>
        <w:rPr>
          <w:rFonts w:ascii="Arial" w:hAnsi="Arial" w:cs="Arial"/>
        </w:rPr>
        <w:t xml:space="preserve">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rsidR="00931745" w:rsidRDefault="00931745" w:rsidP="003C138F">
      <w:pPr>
        <w:spacing w:after="240"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F66264">
        <w:rPr>
          <w:rFonts w:ascii="Arial" w:hAnsi="Arial" w:cs="Arial"/>
        </w:rPr>
        <w:t>al alza</w:t>
      </w:r>
      <w:r>
        <w:rPr>
          <w:rFonts w:ascii="Arial" w:hAnsi="Arial" w:cs="Arial"/>
        </w:rPr>
        <w:t xml:space="preserve"> de los especialistas en el país, el cual se ha correspondido con el crecimiento </w:t>
      </w:r>
      <w:r w:rsidR="003C3ABD">
        <w:rPr>
          <w:rFonts w:ascii="Arial" w:hAnsi="Arial" w:cs="Arial"/>
        </w:rPr>
        <w:t>poblacional,</w:t>
      </w:r>
      <w:r>
        <w:rPr>
          <w:rFonts w:ascii="Arial" w:hAnsi="Arial" w:cs="Arial"/>
        </w:rPr>
        <w:t xml:space="preserve"> no </w:t>
      </w:r>
      <w:r w:rsidR="00F66264">
        <w:rPr>
          <w:rFonts w:ascii="Arial" w:hAnsi="Arial" w:cs="Arial"/>
        </w:rPr>
        <w:t>obstante,</w:t>
      </w:r>
      <w:r>
        <w:rPr>
          <w:rFonts w:ascii="Arial" w:hAnsi="Arial" w:cs="Arial"/>
        </w:rPr>
        <w:t xml:space="preserve"> el ritmo de crecimiento ha sido paulatino e 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rsidR="00931745" w:rsidRPr="000B1A58" w:rsidRDefault="00931745" w:rsidP="00931745">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rsidR="00931745" w:rsidRDefault="00931745" w:rsidP="00931745">
      <w:pPr>
        <w:spacing w:after="0" w:line="360" w:lineRule="auto"/>
        <w:jc w:val="both"/>
        <w:rPr>
          <w:rFonts w:ascii="Arial" w:hAnsi="Arial" w:cs="Arial"/>
        </w:rPr>
      </w:pPr>
      <w:r>
        <w:rPr>
          <w:noProof/>
          <w:lang w:eastAsia="es-MX"/>
        </w:rPr>
        <w:drawing>
          <wp:inline distT="0" distB="0" distL="0" distR="0" wp14:anchorId="146D947B" wp14:editId="4AE5F8D1">
            <wp:extent cx="5655538" cy="1849942"/>
            <wp:effectExtent l="0" t="0" r="2540" b="1714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31745" w:rsidRPr="00D80542" w:rsidRDefault="00931745" w:rsidP="003C138F">
      <w:pPr>
        <w:spacing w:after="0" w:line="240" w:lineRule="auto"/>
        <w:ind w:firstLine="708"/>
        <w:jc w:val="both"/>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Heinze </w:t>
      </w:r>
      <w:r w:rsidRPr="00D80542">
        <w:rPr>
          <w:rFonts w:ascii="Arial" w:hAnsi="Arial" w:cs="Arial"/>
          <w:i/>
          <w:sz w:val="18"/>
        </w:rPr>
        <w:t>et al</w:t>
      </w:r>
      <w:r w:rsidRPr="00D80542">
        <w:rPr>
          <w:rFonts w:ascii="Arial" w:hAnsi="Arial" w:cs="Arial"/>
          <w:sz w:val="18"/>
        </w:rPr>
        <w:t xml:space="preserve"> (2018).</w:t>
      </w:r>
    </w:p>
    <w:p w:rsidR="00931745" w:rsidRDefault="00931745" w:rsidP="003C138F">
      <w:pPr>
        <w:spacing w:after="0" w:line="24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Heinze </w:t>
      </w:r>
      <w:r w:rsidRPr="000C7D4F">
        <w:rPr>
          <w:rFonts w:ascii="Arial" w:hAnsi="Arial" w:cs="Arial"/>
          <w:i/>
          <w:sz w:val="18"/>
        </w:rPr>
        <w:t>et al</w:t>
      </w:r>
      <w:r w:rsidRPr="00D80542">
        <w:rPr>
          <w:rFonts w:ascii="Arial" w:hAnsi="Arial" w:cs="Arial"/>
          <w:sz w:val="18"/>
        </w:rPr>
        <w:t xml:space="preserve"> (2018) y de las proyecciones de población de CONAPO.</w:t>
      </w:r>
      <w:r>
        <w:rPr>
          <w:rFonts w:ascii="Arial" w:hAnsi="Arial" w:cs="Arial"/>
        </w:rPr>
        <w:t xml:space="preserve"> </w:t>
      </w:r>
    </w:p>
    <w:p w:rsidR="00931745" w:rsidRPr="00B153DC" w:rsidRDefault="00931745" w:rsidP="00931745">
      <w:pPr>
        <w:spacing w:after="0" w:line="360" w:lineRule="auto"/>
        <w:jc w:val="center"/>
        <w:rPr>
          <w:rFonts w:ascii="Arial" w:hAnsi="Arial" w:cs="Arial"/>
          <w:b/>
        </w:rPr>
      </w:pPr>
      <w:r w:rsidRPr="00B153DC">
        <w:rPr>
          <w:rFonts w:ascii="Arial" w:hAnsi="Arial" w:cs="Arial"/>
          <w:b/>
        </w:rPr>
        <w:lastRenderedPageBreak/>
        <w:t>Gráfica</w:t>
      </w:r>
      <w:r>
        <w:rPr>
          <w:rFonts w:ascii="Arial" w:hAnsi="Arial" w:cs="Arial"/>
          <w:b/>
        </w:rPr>
        <w:t xml:space="preserve"> 5</w:t>
      </w:r>
      <w:r w:rsidRPr="00B153DC">
        <w:rPr>
          <w:rFonts w:ascii="Arial" w:hAnsi="Arial" w:cs="Arial"/>
          <w:b/>
        </w:rPr>
        <w:t>. Médicos especialistas por 1,000 habitantes diversos países de la OCDE, 2015.</w:t>
      </w:r>
    </w:p>
    <w:p w:rsidR="00931745" w:rsidRDefault="00931745" w:rsidP="0019774F">
      <w:pPr>
        <w:spacing w:after="0" w:line="240" w:lineRule="auto"/>
        <w:jc w:val="center"/>
        <w:rPr>
          <w:rFonts w:ascii="Arial" w:hAnsi="Arial" w:cs="Arial"/>
        </w:rPr>
      </w:pPr>
      <w:r>
        <w:rPr>
          <w:noProof/>
          <w:lang w:eastAsia="es-MX"/>
        </w:rPr>
        <w:drawing>
          <wp:inline distT="0" distB="0" distL="0" distR="0" wp14:anchorId="7387445D" wp14:editId="275686D8">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31745" w:rsidRPr="00B350E5" w:rsidRDefault="00931745" w:rsidP="0019774F">
      <w:pPr>
        <w:spacing w:after="0" w:line="24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rsidR="00FF78A1" w:rsidRDefault="00FF78A1" w:rsidP="00FF78A1">
      <w:pPr>
        <w:spacing w:after="0" w:line="360" w:lineRule="auto"/>
        <w:jc w:val="both"/>
        <w:rPr>
          <w:rFonts w:ascii="Arial" w:hAnsi="Arial" w:cs="Arial"/>
        </w:rPr>
      </w:pPr>
    </w:p>
    <w:p w:rsidR="00FC6AEE" w:rsidRDefault="00FC6AEE" w:rsidP="00FF78A1">
      <w:pPr>
        <w:spacing w:after="0" w:line="360" w:lineRule="auto"/>
        <w:jc w:val="both"/>
        <w:rPr>
          <w:rFonts w:ascii="Arial" w:hAnsi="Arial" w:cs="Arial"/>
        </w:rPr>
      </w:pPr>
      <w:r>
        <w:rPr>
          <w:rFonts w:ascii="Arial" w:hAnsi="Arial" w:cs="Arial"/>
        </w:rPr>
        <w:t>Para los especialistas en Pediatría, se estima que para México en 2017 había 18,771 médicos pediatras, es decir, una tasa de 1.51 especialistas por cada 10,000 habitantes; si el denominador del indicador es la población pediátrica, entonces la tasa es de 5.28 especialistas por cada 10,000 niños y jóvenes entre 0 y 19 años</w:t>
      </w:r>
      <w:r>
        <w:rPr>
          <w:rStyle w:val="Refdenotaalpie"/>
          <w:rFonts w:ascii="Arial" w:hAnsi="Arial" w:cs="Arial"/>
        </w:rPr>
        <w:footnoteReference w:id="37"/>
      </w:r>
      <w:r>
        <w:rPr>
          <w:rFonts w:ascii="Arial" w:hAnsi="Arial" w:cs="Arial"/>
        </w:rPr>
        <w:t>. De dicha población de médicos especialistas, que 55.8% de los especialistas en Pediatría tienen una certificación vigente</w:t>
      </w:r>
      <w:r>
        <w:rPr>
          <w:rStyle w:val="Refdenotaalpie"/>
          <w:rFonts w:ascii="Arial" w:hAnsi="Arial" w:cs="Arial"/>
        </w:rPr>
        <w:footnoteReference w:id="38"/>
      </w:r>
      <w:r>
        <w:rPr>
          <w:rFonts w:ascii="Arial" w:hAnsi="Arial" w:cs="Arial"/>
        </w:rPr>
        <w:t>. Además, 59.7% de los médicos pediatras trabajan en el sector público</w:t>
      </w:r>
      <w:r>
        <w:rPr>
          <w:rStyle w:val="Refdenotaalpie"/>
          <w:rFonts w:ascii="Arial" w:hAnsi="Arial" w:cs="Arial"/>
        </w:rPr>
        <w:footnoteReference w:id="39"/>
      </w:r>
      <w:r>
        <w:rPr>
          <w:rFonts w:ascii="Arial" w:hAnsi="Arial" w:cs="Arial"/>
        </w:rPr>
        <w:t>; otras estimaciones indican que 45% de los especialistas laboran en el sector privado</w:t>
      </w:r>
      <w:r>
        <w:rPr>
          <w:rStyle w:val="Refdenotaalpie"/>
          <w:rFonts w:ascii="Arial" w:hAnsi="Arial" w:cs="Arial"/>
        </w:rPr>
        <w:footnoteReference w:id="40"/>
      </w:r>
      <w:r>
        <w:rPr>
          <w:rFonts w:ascii="Arial" w:hAnsi="Arial" w:cs="Arial"/>
        </w:rPr>
        <w:t>.</w:t>
      </w:r>
    </w:p>
    <w:p w:rsidR="00FC6AEE" w:rsidRDefault="00FC6AEE" w:rsidP="00FC6AEE">
      <w:pPr>
        <w:spacing w:line="360" w:lineRule="auto"/>
        <w:jc w:val="both"/>
        <w:rPr>
          <w:rFonts w:ascii="Arial" w:hAnsi="Arial" w:cs="Arial"/>
        </w:rPr>
      </w:pPr>
      <w:r>
        <w:rPr>
          <w:rFonts w:ascii="Arial" w:hAnsi="Arial" w:cs="Arial"/>
        </w:rPr>
        <w:t>En México, en los últimos años se han otorgado en promedio alrededor de 700 mil servicios hospitalarios en Pediatría en el sector público. De acuerdo al último Boletín de Información Estadística publicado, en 2016 se otorgaron 727,578 servicios de la especialidad</w:t>
      </w:r>
      <w:r>
        <w:rPr>
          <w:rStyle w:val="Refdenotaalpie"/>
          <w:rFonts w:ascii="Arial" w:hAnsi="Arial" w:cs="Arial"/>
        </w:rPr>
        <w:footnoteReference w:id="41"/>
      </w:r>
      <w:r>
        <w:rPr>
          <w:rFonts w:ascii="Arial" w:hAnsi="Arial" w:cs="Arial"/>
        </w:rPr>
        <w:t xml:space="preserve">. Además, la serie histórica 2000-2016 –de los servicios otorgados en Pediatría– muestra una clara tendencia a la alza (Gráfica </w:t>
      </w:r>
      <w:r w:rsidR="00FF78A1">
        <w:rPr>
          <w:rFonts w:ascii="Arial" w:hAnsi="Arial" w:cs="Arial"/>
        </w:rPr>
        <w:t>6</w:t>
      </w:r>
      <w:r>
        <w:rPr>
          <w:rFonts w:ascii="Arial" w:hAnsi="Arial" w:cs="Arial"/>
        </w:rPr>
        <w:t xml:space="preserve">); en este período el número de servicios tuvo una </w:t>
      </w:r>
      <w:r>
        <w:rPr>
          <w:rFonts w:ascii="Arial" w:hAnsi="Arial" w:cs="Arial"/>
        </w:rPr>
        <w:lastRenderedPageBreak/>
        <w:t>tasa promedio de incremento anual de 0.96%, sin embargo, en los últimos años se observa una desaceleración de los servicios, pero con una convergencia por arriba de los 700 mil por año</w:t>
      </w:r>
      <w:r>
        <w:rPr>
          <w:rStyle w:val="Refdenotaalpie"/>
          <w:rFonts w:ascii="Arial" w:hAnsi="Arial" w:cs="Arial"/>
        </w:rPr>
        <w:footnoteReference w:id="42"/>
      </w:r>
      <w:r>
        <w:rPr>
          <w:rFonts w:ascii="Arial" w:hAnsi="Arial" w:cs="Arial"/>
        </w:rPr>
        <w:t xml:space="preserve">. Asimismo, se hizo un pronóstico estocástico de los servicios en un horizonte a 6 años, es decir, para el período 2017-2022. En específico, en un escenario donde las condiciones sean parecidas a las actuales, se observa que la tendencia a la alza continuará en los siguientes años, aunque la velocidad de esta habrá de disminuirse en comparación con los primeros años de la serie histórica; de tal forma que para el año 2019, se pronostica alrededor de 753 mil servicios de pediatría (724-783 mil servicios con un intervalo de pronóstico (IP) de 95%), para el año 2022 se pronostican un poco más de 760 mil servicios de pediatría (730-789 mil IP 95%). </w:t>
      </w:r>
    </w:p>
    <w:p w:rsidR="00FC6AEE" w:rsidRPr="00FD181D" w:rsidRDefault="00FC6AEE" w:rsidP="00FC6AEE">
      <w:pPr>
        <w:spacing w:line="360" w:lineRule="auto"/>
        <w:jc w:val="center"/>
        <w:rPr>
          <w:rFonts w:ascii="Arial" w:hAnsi="Arial" w:cs="Arial"/>
          <w:b/>
        </w:rPr>
      </w:pPr>
      <w:r w:rsidRPr="00FD181D">
        <w:rPr>
          <w:rFonts w:ascii="Arial" w:hAnsi="Arial" w:cs="Arial"/>
          <w:b/>
        </w:rPr>
        <w:t>Gráfica</w:t>
      </w:r>
      <w:r>
        <w:rPr>
          <w:rFonts w:ascii="Arial" w:hAnsi="Arial" w:cs="Arial"/>
          <w:b/>
        </w:rPr>
        <w:t xml:space="preserve"> </w:t>
      </w:r>
      <w:r w:rsidR="00FF78A1">
        <w:rPr>
          <w:rFonts w:ascii="Arial" w:hAnsi="Arial" w:cs="Arial"/>
          <w:b/>
        </w:rPr>
        <w:t>6</w:t>
      </w:r>
      <w:r w:rsidRPr="00FD181D">
        <w:rPr>
          <w:rFonts w:ascii="Arial" w:hAnsi="Arial" w:cs="Arial"/>
          <w:b/>
        </w:rPr>
        <w:t>. Evolución y pronóstico de los servicios otorgados de Pediatría, 2000-2016 y 2017-2022.</w:t>
      </w:r>
    </w:p>
    <w:p w:rsidR="00FC6AEE" w:rsidRDefault="00FC6AEE" w:rsidP="00FC6AEE">
      <w:pPr>
        <w:spacing w:line="360" w:lineRule="auto"/>
        <w:jc w:val="center"/>
        <w:rPr>
          <w:rFonts w:ascii="Arial" w:hAnsi="Arial" w:cs="Arial"/>
        </w:rPr>
      </w:pPr>
      <w:r>
        <w:rPr>
          <w:noProof/>
          <w:lang w:eastAsia="es-MX"/>
        </w:rPr>
        <w:drawing>
          <wp:inline distT="0" distB="0" distL="0" distR="0" wp14:anchorId="725F2C3A" wp14:editId="48309BAA">
            <wp:extent cx="5138738" cy="2947988"/>
            <wp:effectExtent l="0" t="0" r="5080" b="508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C6AEE" w:rsidRPr="0078259A" w:rsidRDefault="00FC6AEE" w:rsidP="00FC6AEE">
      <w:pPr>
        <w:spacing w:line="360" w:lineRule="auto"/>
        <w:jc w:val="center"/>
        <w:rPr>
          <w:rFonts w:ascii="Arial" w:hAnsi="Arial" w:cs="Arial"/>
          <w:sz w:val="18"/>
          <w:szCs w:val="18"/>
        </w:rPr>
      </w:pPr>
      <w:r w:rsidRPr="006D411B">
        <w:rPr>
          <w:rFonts w:ascii="Arial" w:hAnsi="Arial" w:cs="Arial"/>
          <w:b/>
          <w:sz w:val="18"/>
          <w:szCs w:val="18"/>
        </w:rPr>
        <w:t>Fuente:</w:t>
      </w:r>
      <w:r w:rsidRPr="0078259A">
        <w:rPr>
          <w:rFonts w:ascii="Arial" w:hAnsi="Arial" w:cs="Arial"/>
          <w:sz w:val="18"/>
          <w:szCs w:val="18"/>
        </w:rPr>
        <w:t xml:space="preserve"> Elaboración propia con base en SSA</w:t>
      </w:r>
      <w:r>
        <w:rPr>
          <w:rFonts w:ascii="Arial" w:hAnsi="Arial" w:cs="Arial"/>
          <w:sz w:val="18"/>
          <w:szCs w:val="18"/>
        </w:rPr>
        <w:t xml:space="preserve"> (2017).</w:t>
      </w:r>
    </w:p>
    <w:p w:rsidR="00FC6AEE" w:rsidRDefault="00FC6AEE" w:rsidP="00FC6AEE">
      <w:pPr>
        <w:spacing w:line="360" w:lineRule="auto"/>
        <w:jc w:val="both"/>
        <w:rPr>
          <w:rFonts w:ascii="Arial" w:hAnsi="Arial" w:cs="Arial"/>
        </w:rPr>
      </w:pPr>
      <w:r>
        <w:rPr>
          <w:rFonts w:ascii="Arial" w:hAnsi="Arial" w:cs="Arial"/>
        </w:rPr>
        <w:t>Por lo anterior, es importante notar que el rápido incremento de servicios de Pediatría habrá de desacelerarse en los próximos años; no obstante, dichos servicios parecen haber encontrado su punto de carga en el sistema de salud pública del país, y no necesariamente un descenso en las demandas de salud de la población pediátrica.</w:t>
      </w:r>
    </w:p>
    <w:p w:rsidR="00FC6AEE" w:rsidRDefault="00FC6AEE" w:rsidP="00FC6AEE">
      <w:pPr>
        <w:spacing w:line="360" w:lineRule="auto"/>
        <w:jc w:val="both"/>
        <w:rPr>
          <w:rFonts w:ascii="Arial" w:hAnsi="Arial" w:cs="Arial"/>
        </w:rPr>
      </w:pPr>
      <w:r>
        <w:rPr>
          <w:rFonts w:ascii="Arial" w:hAnsi="Arial" w:cs="Arial"/>
        </w:rPr>
        <w:lastRenderedPageBreak/>
        <w:t xml:space="preserve">Por otro lado, es importante notar la inequitativa distribución geográfica de médicos pediatras y servicios otorgados (Cuadro </w:t>
      </w:r>
      <w:r w:rsidR="00FF78A1">
        <w:rPr>
          <w:rFonts w:ascii="Arial" w:hAnsi="Arial" w:cs="Arial"/>
        </w:rPr>
        <w:t>10</w:t>
      </w:r>
      <w:r>
        <w:rPr>
          <w:rFonts w:ascii="Arial" w:hAnsi="Arial" w:cs="Arial"/>
        </w:rPr>
        <w:t>). Con datos del sector público para 2016 y 2017, se observa que la entidad con mayor número de servicios otorgados fue la Ciudad de México, ya que aglomera 13.16% de los servicios otorgados en Pediatría, lo cual está en línea con el número de consultorios, camas y especialistas en la entidad</w:t>
      </w:r>
      <w:r>
        <w:rPr>
          <w:rStyle w:val="Refdenotaalpie"/>
          <w:rFonts w:ascii="Arial" w:hAnsi="Arial" w:cs="Arial"/>
        </w:rPr>
        <w:footnoteReference w:id="43"/>
      </w:r>
      <w:r>
        <w:rPr>
          <w:rFonts w:ascii="Arial" w:hAnsi="Arial" w:cs="Arial"/>
        </w:rPr>
        <w:t xml:space="preserve">; es importante recordar que la Ciudad de México ha sido </w:t>
      </w:r>
      <w:r w:rsidRPr="00D80D23">
        <w:rPr>
          <w:rFonts w:ascii="Arial" w:hAnsi="Arial" w:cs="Arial"/>
        </w:rPr>
        <w:t>el corazón político y económico de</w:t>
      </w:r>
      <w:r>
        <w:rPr>
          <w:rFonts w:ascii="Arial" w:hAnsi="Arial" w:cs="Arial"/>
        </w:rPr>
        <w:t>l país</w:t>
      </w:r>
      <w:r w:rsidRPr="00D80D23">
        <w:rPr>
          <w:rFonts w:ascii="Arial" w:hAnsi="Arial" w:cs="Arial"/>
        </w:rPr>
        <w:t>, s</w:t>
      </w:r>
      <w:r>
        <w:rPr>
          <w:rFonts w:ascii="Arial" w:hAnsi="Arial" w:cs="Arial"/>
        </w:rPr>
        <w:t>iendo la principal urbe</w:t>
      </w:r>
      <w:r w:rsidRPr="00D80D23">
        <w:rPr>
          <w:rFonts w:ascii="Arial" w:hAnsi="Arial" w:cs="Arial"/>
        </w:rPr>
        <w:t xml:space="preserve"> del país, </w:t>
      </w:r>
      <w:r>
        <w:rPr>
          <w:rFonts w:ascii="Arial" w:hAnsi="Arial" w:cs="Arial"/>
        </w:rPr>
        <w:t>la</w:t>
      </w:r>
      <w:r w:rsidRPr="00D80D23">
        <w:rPr>
          <w:rFonts w:ascii="Arial" w:hAnsi="Arial" w:cs="Arial"/>
        </w:rPr>
        <w:t xml:space="preserve"> más pobladas y </w:t>
      </w:r>
      <w:r>
        <w:rPr>
          <w:rFonts w:ascii="Arial" w:hAnsi="Arial" w:cs="Arial"/>
        </w:rPr>
        <w:t xml:space="preserve">de </w:t>
      </w:r>
      <w:r w:rsidRPr="00D80D23">
        <w:rPr>
          <w:rFonts w:ascii="Arial" w:hAnsi="Arial" w:cs="Arial"/>
        </w:rPr>
        <w:t>mayor concentración de servicios sociales y recursos económicos</w:t>
      </w:r>
      <w:r>
        <w:rPr>
          <w:rFonts w:ascii="Arial" w:hAnsi="Arial" w:cs="Arial"/>
        </w:rPr>
        <w:t>. El Estado de México y Jalisco también tienen una alta participación en cuanto a los servicios otorgados (9.79% y 8.02%, respectivamente), sin embargo, el número del resto de indicadores difiere, es decir, no tienen una relación lineal</w:t>
      </w:r>
      <w:r>
        <w:rPr>
          <w:rStyle w:val="Refdenotaalpie"/>
          <w:rFonts w:ascii="Arial" w:hAnsi="Arial" w:cs="Arial"/>
        </w:rPr>
        <w:footnoteReference w:id="44"/>
      </w:r>
      <w:r>
        <w:rPr>
          <w:rFonts w:ascii="Arial" w:hAnsi="Arial" w:cs="Arial"/>
        </w:rPr>
        <w:t>. Por otro lado, Michoacán, Chiapas y Oaxaca son las entidades con menor tasa de pediatras (1.39, 1.52 y 1.65, correspondientemente) y siendo que cada entidad aglomera alrededor de 3% de los servicios otorgados a nivel nacional</w:t>
      </w:r>
      <w:r>
        <w:rPr>
          <w:rStyle w:val="Refdenotaalpie"/>
          <w:rFonts w:ascii="Arial" w:hAnsi="Arial" w:cs="Arial"/>
        </w:rPr>
        <w:footnoteReference w:id="45"/>
      </w:r>
      <w:r>
        <w:rPr>
          <w:rFonts w:ascii="Arial" w:hAnsi="Arial" w:cs="Arial"/>
        </w:rPr>
        <w:t>; además, Chiapas es la entidad con mayor índice de juventud (población de 0-19 años)</w:t>
      </w:r>
      <w:r>
        <w:rPr>
          <w:rStyle w:val="Refdenotaalpie"/>
          <w:rFonts w:ascii="Arial" w:hAnsi="Arial" w:cs="Arial"/>
        </w:rPr>
        <w:footnoteReference w:id="46"/>
      </w:r>
      <w:r>
        <w:rPr>
          <w:rFonts w:ascii="Arial" w:hAnsi="Arial" w:cs="Arial"/>
        </w:rPr>
        <w:t xml:space="preserve">. Por lo anterior, se puede afirmar que la mala distribución de la fuerza laboral de los especialistas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de ser</w:t>
      </w:r>
      <w:r>
        <w:rPr>
          <w:rFonts w:ascii="Arial" w:hAnsi="Arial" w:cs="Arial"/>
        </w:rPr>
        <w:t>vicios por parte de las poblaciones en lugares y en los tiempos específicos</w:t>
      </w:r>
      <w:r>
        <w:rPr>
          <w:rStyle w:val="Refdenotaalpie"/>
          <w:rFonts w:ascii="Arial" w:hAnsi="Arial" w:cs="Arial"/>
        </w:rPr>
        <w:footnoteReference w:id="47"/>
      </w:r>
      <w:r w:rsidRPr="00B301DB">
        <w:rPr>
          <w:rFonts w:ascii="Arial" w:hAnsi="Arial" w:cs="Arial"/>
        </w:rPr>
        <w:t>.</w:t>
      </w:r>
    </w:p>
    <w:p w:rsidR="00FC6AEE" w:rsidRPr="004F18ED" w:rsidRDefault="00FC6AEE" w:rsidP="00FC6AEE">
      <w:pPr>
        <w:spacing w:line="360" w:lineRule="auto"/>
        <w:jc w:val="center"/>
        <w:rPr>
          <w:rFonts w:ascii="Arial" w:hAnsi="Arial" w:cs="Arial"/>
          <w:b/>
        </w:rPr>
      </w:pPr>
      <w:r>
        <w:rPr>
          <w:rFonts w:ascii="Arial" w:hAnsi="Arial" w:cs="Arial"/>
          <w:b/>
        </w:rPr>
        <w:t>Cuadro 1</w:t>
      </w:r>
      <w:r w:rsidR="00FF78A1">
        <w:rPr>
          <w:rFonts w:ascii="Arial" w:hAnsi="Arial" w:cs="Arial"/>
          <w:b/>
        </w:rPr>
        <w:t>0</w:t>
      </w:r>
      <w:r>
        <w:rPr>
          <w:rFonts w:ascii="Arial" w:hAnsi="Arial" w:cs="Arial"/>
          <w:b/>
        </w:rPr>
        <w:t>.</w:t>
      </w:r>
      <w:r w:rsidRPr="004F18ED">
        <w:rPr>
          <w:rFonts w:ascii="Arial" w:hAnsi="Arial" w:cs="Arial"/>
          <w:b/>
        </w:rPr>
        <w:t xml:space="preserve"> Indicadores diversos en relación con la especialidad de Pediatría en el sector público de México, 2016 y 2017.</w:t>
      </w:r>
    </w:p>
    <w:tbl>
      <w:tblPr>
        <w:tblW w:w="6941" w:type="dxa"/>
        <w:jc w:val="center"/>
        <w:tblCellMar>
          <w:left w:w="70" w:type="dxa"/>
          <w:right w:w="70" w:type="dxa"/>
        </w:tblCellMar>
        <w:tblLook w:val="04A0" w:firstRow="1" w:lastRow="0" w:firstColumn="1" w:lastColumn="0" w:noHBand="0" w:noVBand="1"/>
      </w:tblPr>
      <w:tblGrid>
        <w:gridCol w:w="1600"/>
        <w:gridCol w:w="1230"/>
        <w:gridCol w:w="1701"/>
        <w:gridCol w:w="1276"/>
        <w:gridCol w:w="1134"/>
      </w:tblGrid>
      <w:tr w:rsidR="00FC6AEE" w:rsidRPr="00D80D23" w:rsidTr="00FF78A1">
        <w:trPr>
          <w:trHeight w:val="1500"/>
          <w:tblHeader/>
          <w:jc w:val="center"/>
        </w:trPr>
        <w:tc>
          <w:tcPr>
            <w:tcW w:w="1600"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FC6AEE" w:rsidRPr="00D80D23" w:rsidRDefault="00FC6AEE" w:rsidP="00FC25D3">
            <w:pPr>
              <w:spacing w:after="0" w:line="240" w:lineRule="auto"/>
              <w:jc w:val="center"/>
              <w:rPr>
                <w:rFonts w:ascii="Calibri" w:eastAsia="Times New Roman" w:hAnsi="Calibri" w:cs="Times New Roman"/>
                <w:b/>
                <w:bCs/>
                <w:color w:val="000000"/>
                <w:lang w:eastAsia="es-MX"/>
              </w:rPr>
            </w:pPr>
            <w:r w:rsidRPr="00D80D23">
              <w:rPr>
                <w:rFonts w:ascii="Calibri" w:eastAsia="Times New Roman" w:hAnsi="Calibri" w:cs="Times New Roman"/>
                <w:b/>
                <w:bCs/>
                <w:color w:val="000000"/>
                <w:lang w:eastAsia="es-MX"/>
              </w:rPr>
              <w:t>Entidad</w:t>
            </w:r>
          </w:p>
        </w:tc>
        <w:tc>
          <w:tcPr>
            <w:tcW w:w="1230" w:type="dxa"/>
            <w:tcBorders>
              <w:top w:val="single" w:sz="4" w:space="0" w:color="auto"/>
              <w:left w:val="nil"/>
              <w:bottom w:val="single" w:sz="4" w:space="0" w:color="auto"/>
              <w:right w:val="single" w:sz="4" w:space="0" w:color="auto"/>
            </w:tcBorders>
            <w:shd w:val="clear" w:color="DDEBF7" w:fill="DDEBF7"/>
            <w:vAlign w:val="center"/>
            <w:hideMark/>
          </w:tcPr>
          <w:p w:rsidR="00FC6AEE" w:rsidRPr="00D80D23" w:rsidRDefault="00FC6AEE" w:rsidP="00FC25D3">
            <w:pPr>
              <w:spacing w:after="0" w:line="240" w:lineRule="auto"/>
              <w:jc w:val="center"/>
              <w:rPr>
                <w:rFonts w:ascii="Calibri" w:eastAsia="Times New Roman" w:hAnsi="Calibri" w:cs="Times New Roman"/>
                <w:b/>
                <w:bCs/>
                <w:color w:val="000000"/>
                <w:lang w:eastAsia="es-MX"/>
              </w:rPr>
            </w:pPr>
            <w:r w:rsidRPr="00D80D23">
              <w:rPr>
                <w:rFonts w:ascii="Calibri" w:eastAsia="Times New Roman" w:hAnsi="Calibri" w:cs="Times New Roman"/>
                <w:b/>
                <w:bCs/>
                <w:color w:val="000000"/>
                <w:lang w:eastAsia="es-MX"/>
              </w:rPr>
              <w:t>Porcentaje de servicios otorgados</w:t>
            </w:r>
            <w:r>
              <w:rPr>
                <w:rFonts w:ascii="Calibri" w:eastAsia="Times New Roman" w:hAnsi="Calibri" w:cs="Times New Roman"/>
                <w:b/>
                <w:bCs/>
                <w:color w:val="000000"/>
                <w:lang w:eastAsia="es-MX"/>
              </w:rPr>
              <w:t xml:space="preserve"> 2016</w:t>
            </w:r>
          </w:p>
        </w:tc>
        <w:tc>
          <w:tcPr>
            <w:tcW w:w="1701" w:type="dxa"/>
            <w:tcBorders>
              <w:top w:val="single" w:sz="4" w:space="0" w:color="auto"/>
              <w:left w:val="nil"/>
              <w:bottom w:val="single" w:sz="4" w:space="0" w:color="auto"/>
              <w:right w:val="single" w:sz="4" w:space="0" w:color="auto"/>
            </w:tcBorders>
            <w:shd w:val="clear" w:color="DDEBF7" w:fill="DDEBF7"/>
            <w:vAlign w:val="center"/>
            <w:hideMark/>
          </w:tcPr>
          <w:p w:rsidR="00FC6AEE" w:rsidRPr="00D80D23" w:rsidRDefault="00FC6AEE" w:rsidP="00FC25D3">
            <w:pPr>
              <w:spacing w:after="0" w:line="240" w:lineRule="auto"/>
              <w:jc w:val="center"/>
              <w:rPr>
                <w:rFonts w:ascii="Calibri" w:eastAsia="Times New Roman" w:hAnsi="Calibri" w:cs="Times New Roman"/>
                <w:b/>
                <w:bCs/>
                <w:color w:val="000000"/>
                <w:lang w:eastAsia="es-MX"/>
              </w:rPr>
            </w:pPr>
            <w:r w:rsidRPr="00D80D23">
              <w:rPr>
                <w:rFonts w:ascii="Calibri" w:eastAsia="Times New Roman" w:hAnsi="Calibri" w:cs="Times New Roman"/>
                <w:b/>
                <w:bCs/>
                <w:color w:val="000000"/>
                <w:lang w:eastAsia="es-MX"/>
              </w:rPr>
              <w:t>Número de camas de Pediatría por 10,000 habitantes</w:t>
            </w:r>
            <w:r>
              <w:rPr>
                <w:rFonts w:ascii="Calibri" w:eastAsia="Times New Roman" w:hAnsi="Calibri" w:cs="Times New Roman"/>
                <w:b/>
                <w:bCs/>
                <w:color w:val="000000"/>
                <w:lang w:eastAsia="es-MX"/>
              </w:rPr>
              <w:t xml:space="preserve"> 2017</w:t>
            </w:r>
          </w:p>
        </w:tc>
        <w:tc>
          <w:tcPr>
            <w:tcW w:w="1276" w:type="dxa"/>
            <w:tcBorders>
              <w:top w:val="single" w:sz="4" w:space="0" w:color="auto"/>
              <w:left w:val="nil"/>
              <w:bottom w:val="single" w:sz="4" w:space="0" w:color="auto"/>
              <w:right w:val="single" w:sz="4" w:space="0" w:color="auto"/>
            </w:tcBorders>
            <w:shd w:val="clear" w:color="DDEBF7" w:fill="DDEBF7"/>
            <w:vAlign w:val="center"/>
            <w:hideMark/>
          </w:tcPr>
          <w:p w:rsidR="00FC6AEE" w:rsidRPr="00D80D23" w:rsidRDefault="00FC6AEE" w:rsidP="00FC25D3">
            <w:pPr>
              <w:spacing w:after="0" w:line="240" w:lineRule="auto"/>
              <w:jc w:val="center"/>
              <w:rPr>
                <w:rFonts w:ascii="Calibri" w:eastAsia="Times New Roman" w:hAnsi="Calibri" w:cs="Times New Roman"/>
                <w:b/>
                <w:bCs/>
                <w:color w:val="000000"/>
                <w:lang w:eastAsia="es-MX"/>
              </w:rPr>
            </w:pPr>
            <w:r w:rsidRPr="00D80D23">
              <w:rPr>
                <w:rFonts w:ascii="Calibri" w:eastAsia="Times New Roman" w:hAnsi="Calibri" w:cs="Times New Roman"/>
                <w:b/>
                <w:bCs/>
                <w:color w:val="000000"/>
                <w:lang w:eastAsia="es-MX"/>
              </w:rPr>
              <w:t>Número de Pediatras por 10,000 habitantes</w:t>
            </w:r>
            <w:r>
              <w:rPr>
                <w:rFonts w:ascii="Calibri" w:eastAsia="Times New Roman" w:hAnsi="Calibri" w:cs="Times New Roman"/>
                <w:b/>
                <w:bCs/>
                <w:color w:val="000000"/>
                <w:lang w:eastAsia="es-MX"/>
              </w:rPr>
              <w:t xml:space="preserve"> 2017</w:t>
            </w:r>
          </w:p>
        </w:tc>
        <w:tc>
          <w:tcPr>
            <w:tcW w:w="1134" w:type="dxa"/>
            <w:tcBorders>
              <w:top w:val="single" w:sz="4" w:space="0" w:color="auto"/>
              <w:left w:val="nil"/>
              <w:bottom w:val="single" w:sz="4" w:space="0" w:color="auto"/>
              <w:right w:val="single" w:sz="4" w:space="0" w:color="auto"/>
            </w:tcBorders>
            <w:shd w:val="clear" w:color="DDEBF7" w:fill="DDEBF7"/>
            <w:vAlign w:val="center"/>
            <w:hideMark/>
          </w:tcPr>
          <w:p w:rsidR="00FC6AEE" w:rsidRPr="00D80D23" w:rsidRDefault="00FC6AEE" w:rsidP="00FC25D3">
            <w:pPr>
              <w:spacing w:after="0" w:line="240" w:lineRule="auto"/>
              <w:jc w:val="center"/>
              <w:rPr>
                <w:rFonts w:ascii="Calibri" w:eastAsia="Times New Roman" w:hAnsi="Calibri" w:cs="Times New Roman"/>
                <w:b/>
                <w:bCs/>
                <w:color w:val="000000"/>
                <w:lang w:eastAsia="es-MX"/>
              </w:rPr>
            </w:pPr>
            <w:r w:rsidRPr="00D80D23">
              <w:rPr>
                <w:rFonts w:ascii="Calibri" w:eastAsia="Times New Roman" w:hAnsi="Calibri" w:cs="Times New Roman"/>
                <w:b/>
                <w:bCs/>
                <w:color w:val="000000"/>
                <w:lang w:eastAsia="es-MX"/>
              </w:rPr>
              <w:t>Índice de juventud</w:t>
            </w:r>
            <w:r>
              <w:rPr>
                <w:rFonts w:ascii="Calibri" w:eastAsia="Times New Roman" w:hAnsi="Calibri" w:cs="Times New Roman"/>
                <w:b/>
                <w:bCs/>
                <w:color w:val="000000"/>
                <w:lang w:eastAsia="es-MX"/>
              </w:rPr>
              <w:t xml:space="preserve"> 2017</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Aguascalientes</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1.36%</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1.89</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3.83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38.10%</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Baja California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2.93%</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2.5</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2.63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35.06%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Baja California Sur</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0.75%</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2.68</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3.96</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35.12%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lastRenderedPageBreak/>
              <w:t>Campeche</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0.67%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2.71</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2.68</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36.17%</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Chiapas</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3.32%</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1.64</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1.52</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42.85%</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Chihuahua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3.21%</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2.55</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2.43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36.19%</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CDMX</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13.16%</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7.19</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7.01</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26.76%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Coahuila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2.86%</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2.83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2.94</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36.71%</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Colima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0.60%</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35.12%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Durango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2.17%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2.89</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2.37</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38.20%</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Guanajuato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4.93%</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2.59</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2.25</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37.78%</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Guerrero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2.03%</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2.16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1.9</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39.82%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Hidalgo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1.25%</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1.84</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36.45%</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Jalisco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8.02%</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2.37</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36.37%</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México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9.79%</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1.88</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2.31</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34.45%</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Michoacán</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3.50%</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1.39</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37.96%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Morelos</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1.37%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2.99</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34.33%</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Nayarit</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0.77%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1.68</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37.26%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Nuevo León</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4.07%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2.31</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34.28%</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Oaxaca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2.99%</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2.73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1.65</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37.85%</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Puebla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3.49%</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1.76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1.79</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38.13%</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Querétaro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1.68%</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2.01</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2.7</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36.39%</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Quintana Roo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1.12%</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1.99</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2.92</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36.07%</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Sinaloa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3.27%</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2.17</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36.76%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SLP</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2.51%</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2.71</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35.22%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Sonora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2.35%</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2.95</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3.13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35.42%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Tabasco</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2.38%</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1.82</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36.86%</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Tamaulipas</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2.96%</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3.41</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3.02</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35.48%</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Tlaxcala</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1.51%</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2.56</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2.37</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37.02%</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Veracruz</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5.56%</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2.13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1.92</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34.74%</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Yucatán</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2.42%</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3.01</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34.05%</w:t>
            </w:r>
          </w:p>
        </w:tc>
      </w:tr>
      <w:tr w:rsidR="00FC6AEE" w:rsidRPr="00D80D23" w:rsidTr="00FF78A1">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Zacatecas</w:t>
            </w:r>
          </w:p>
        </w:tc>
        <w:tc>
          <w:tcPr>
            <w:tcW w:w="1230"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0.98%</w:t>
            </w:r>
          </w:p>
        </w:tc>
        <w:tc>
          <w:tcPr>
            <w:tcW w:w="1701"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2.1</w:t>
            </w:r>
          </w:p>
        </w:tc>
        <w:tc>
          <w:tcPr>
            <w:tcW w:w="1276"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2.28</w:t>
            </w:r>
          </w:p>
        </w:tc>
        <w:tc>
          <w:tcPr>
            <w:tcW w:w="1134" w:type="dxa"/>
            <w:tcBorders>
              <w:top w:val="nil"/>
              <w:left w:val="nil"/>
              <w:bottom w:val="single" w:sz="4" w:space="0" w:color="auto"/>
              <w:right w:val="single" w:sz="4" w:space="0" w:color="auto"/>
            </w:tcBorders>
            <w:shd w:val="clear" w:color="auto" w:fill="auto"/>
            <w:noWrap/>
            <w:vAlign w:val="bottom"/>
            <w:hideMark/>
          </w:tcPr>
          <w:p w:rsidR="00FC6AEE" w:rsidRPr="00D80D23" w:rsidRDefault="00FC6AEE" w:rsidP="00FC25D3">
            <w:pPr>
              <w:spacing w:after="0" w:line="240" w:lineRule="auto"/>
              <w:jc w:val="right"/>
              <w:rPr>
                <w:rFonts w:ascii="Calibri" w:eastAsia="Times New Roman" w:hAnsi="Calibri" w:cs="Times New Roman"/>
                <w:color w:val="000000"/>
                <w:lang w:eastAsia="es-MX"/>
              </w:rPr>
            </w:pPr>
            <w:r w:rsidRPr="00D80D23">
              <w:rPr>
                <w:rFonts w:ascii="Calibri" w:eastAsia="Times New Roman" w:hAnsi="Calibri" w:cs="Times New Roman"/>
                <w:color w:val="000000"/>
                <w:lang w:eastAsia="es-MX"/>
              </w:rPr>
              <w:t>38.23%</w:t>
            </w:r>
          </w:p>
        </w:tc>
      </w:tr>
    </w:tbl>
    <w:p w:rsidR="00FC6AEE" w:rsidRPr="003F5494" w:rsidRDefault="00FC6AEE" w:rsidP="00FC6AEE">
      <w:pPr>
        <w:spacing w:line="360" w:lineRule="auto"/>
        <w:ind w:left="708" w:firstLine="708"/>
        <w:jc w:val="both"/>
        <w:rPr>
          <w:rFonts w:ascii="Arial" w:hAnsi="Arial" w:cs="Arial"/>
          <w:sz w:val="18"/>
        </w:rPr>
      </w:pPr>
      <w:r w:rsidRPr="003F5494">
        <w:rPr>
          <w:rFonts w:ascii="Arial" w:hAnsi="Arial" w:cs="Arial"/>
          <w:b/>
          <w:sz w:val="18"/>
        </w:rPr>
        <w:t>Fuente:</w:t>
      </w:r>
      <w:r w:rsidRPr="003F5494">
        <w:rPr>
          <w:rFonts w:ascii="Arial" w:hAnsi="Arial" w:cs="Arial"/>
          <w:sz w:val="18"/>
        </w:rPr>
        <w:t xml:space="preserve"> Elaboración propia con base en SSA</w:t>
      </w:r>
      <w:r>
        <w:rPr>
          <w:rFonts w:ascii="Arial" w:hAnsi="Arial" w:cs="Arial"/>
          <w:sz w:val="18"/>
        </w:rPr>
        <w:t xml:space="preserve"> (2017 y 2019)</w:t>
      </w:r>
      <w:r w:rsidRPr="003F5494">
        <w:rPr>
          <w:rFonts w:ascii="Arial" w:hAnsi="Arial" w:cs="Arial"/>
          <w:sz w:val="18"/>
        </w:rPr>
        <w:t xml:space="preserve"> y CONAPO</w:t>
      </w:r>
      <w:r>
        <w:rPr>
          <w:rFonts w:ascii="Arial" w:hAnsi="Arial" w:cs="Arial"/>
          <w:sz w:val="18"/>
        </w:rPr>
        <w:t xml:space="preserve"> (2018)</w:t>
      </w:r>
      <w:r w:rsidRPr="003F5494">
        <w:rPr>
          <w:rFonts w:ascii="Arial" w:hAnsi="Arial" w:cs="Arial"/>
          <w:sz w:val="18"/>
        </w:rPr>
        <w:t>.</w:t>
      </w:r>
    </w:p>
    <w:p w:rsidR="00FC6AEE" w:rsidRDefault="00FC6AEE" w:rsidP="00FC6AEE">
      <w:pPr>
        <w:spacing w:line="360" w:lineRule="auto"/>
        <w:jc w:val="both"/>
        <w:rPr>
          <w:rFonts w:ascii="Arial" w:hAnsi="Arial" w:cs="Arial"/>
        </w:rPr>
      </w:pPr>
    </w:p>
    <w:p w:rsidR="00FF78A1" w:rsidRDefault="00FF78A1" w:rsidP="00FC6AEE">
      <w:pPr>
        <w:spacing w:line="360" w:lineRule="auto"/>
        <w:jc w:val="both"/>
        <w:rPr>
          <w:rFonts w:ascii="Arial" w:hAnsi="Arial" w:cs="Arial"/>
        </w:rPr>
      </w:pPr>
    </w:p>
    <w:p w:rsidR="004A6E01" w:rsidRDefault="004A6E01" w:rsidP="00FC6AEE">
      <w:pPr>
        <w:spacing w:line="360" w:lineRule="auto"/>
        <w:jc w:val="both"/>
        <w:rPr>
          <w:rFonts w:ascii="Arial" w:hAnsi="Arial" w:cs="Arial"/>
        </w:rPr>
      </w:pPr>
    </w:p>
    <w:p w:rsidR="00FF78A1" w:rsidRDefault="00FF78A1" w:rsidP="00FC6AEE">
      <w:pPr>
        <w:spacing w:line="360" w:lineRule="auto"/>
        <w:jc w:val="both"/>
        <w:rPr>
          <w:rFonts w:ascii="Arial" w:hAnsi="Arial" w:cs="Arial"/>
        </w:rPr>
      </w:pPr>
    </w:p>
    <w:p w:rsidR="00414C05" w:rsidRPr="00CA1BB8" w:rsidRDefault="00414C05" w:rsidP="004F391F">
      <w:pPr>
        <w:spacing w:after="0" w:line="360" w:lineRule="auto"/>
        <w:jc w:val="both"/>
        <w:rPr>
          <w:rFonts w:ascii="Arial" w:hAnsi="Arial" w:cs="Arial"/>
          <w:b/>
          <w:smallCaps/>
          <w:color w:val="000000" w:themeColor="text1"/>
          <w:sz w:val="24"/>
          <w:szCs w:val="24"/>
        </w:rPr>
      </w:pPr>
      <w:r>
        <w:rPr>
          <w:rFonts w:ascii="Arial" w:hAnsi="Arial" w:cs="Arial"/>
          <w:b/>
          <w:smallCaps/>
          <w:color w:val="000000" w:themeColor="text1"/>
          <w:sz w:val="24"/>
          <w:szCs w:val="24"/>
        </w:rPr>
        <w:lastRenderedPageBreak/>
        <w:t>III</w:t>
      </w:r>
      <w:r w:rsidRPr="00CA1BB8">
        <w:rPr>
          <w:rFonts w:ascii="Arial" w:hAnsi="Arial" w:cs="Arial"/>
          <w:b/>
          <w:smallCaps/>
          <w:color w:val="000000" w:themeColor="text1"/>
          <w:sz w:val="24"/>
          <w:szCs w:val="24"/>
        </w:rPr>
        <w:t xml:space="preserve">. </w:t>
      </w:r>
      <w:r w:rsidR="00DD00EF">
        <w:rPr>
          <w:rFonts w:ascii="Arial" w:hAnsi="Arial" w:cs="Arial"/>
          <w:b/>
          <w:smallCaps/>
          <w:color w:val="000000" w:themeColor="text1"/>
          <w:sz w:val="24"/>
          <w:szCs w:val="24"/>
        </w:rPr>
        <w:t>MARCO NORMATIVO</w:t>
      </w:r>
    </w:p>
    <w:p w:rsidR="004F391F" w:rsidRDefault="004F391F" w:rsidP="004F391F">
      <w:pPr>
        <w:spacing w:after="0" w:line="360" w:lineRule="auto"/>
        <w:jc w:val="both"/>
        <w:rPr>
          <w:rFonts w:ascii="Arial" w:hAnsi="Arial" w:cs="Arial"/>
          <w:b/>
        </w:rPr>
      </w:pPr>
    </w:p>
    <w:p w:rsidR="00414C05" w:rsidRDefault="007E2B99" w:rsidP="004F391F">
      <w:pPr>
        <w:spacing w:after="0" w:line="360" w:lineRule="auto"/>
        <w:jc w:val="both"/>
        <w:rPr>
          <w:rFonts w:ascii="Arial" w:hAnsi="Arial" w:cs="Arial"/>
          <w:b/>
          <w:smallCaps/>
          <w:color w:val="000000" w:themeColor="text1"/>
        </w:rPr>
      </w:pPr>
      <w:r>
        <w:rPr>
          <w:rFonts w:ascii="Arial" w:hAnsi="Arial" w:cs="Arial"/>
          <w:b/>
        </w:rPr>
        <w:t>3.1. Constitución Política de los Estados Unidos Mexicanos.</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b/>
          <w:smallCaps/>
          <w:color w:val="000000" w:themeColor="text1"/>
        </w:rPr>
        <w:t>Artículo 3°</w:t>
      </w:r>
      <w:r w:rsidRPr="003B025A">
        <w:rPr>
          <w:rStyle w:val="Refdenotaalpie"/>
          <w:rFonts w:ascii="Arial" w:hAnsi="Arial" w:cs="Arial"/>
          <w:smallCaps/>
          <w:color w:val="000000" w:themeColor="text1"/>
        </w:rPr>
        <w:footnoteReference w:id="48"/>
      </w:r>
      <w:r w:rsidRPr="003B025A">
        <w:rPr>
          <w:rFonts w:ascii="Arial" w:hAnsi="Arial" w:cs="Arial"/>
          <w:smallCaps/>
          <w:color w:val="000000" w:themeColor="text1"/>
        </w:rPr>
        <w:t>.</w:t>
      </w:r>
      <w:r w:rsidRPr="003B025A">
        <w:rPr>
          <w:rFonts w:ascii="Arial" w:hAnsi="Arial" w:cs="Arial"/>
          <w:color w:val="000000" w:themeColor="text1"/>
        </w:rPr>
        <w:t xml:space="preserve"> Todo individuo tiene derecho a recibir Educación. El Estado –Federación, Estados, Ciudad de México y Municipios–, impartirá educación preescolar, primaria, secundaria y media superior. La educación preescolar, primaria y secundaria conforman la educación básica; ésta y la media superior serán obligatorias.</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sidRPr="003B025A">
        <w:rPr>
          <w:rStyle w:val="Refdenotaalpie"/>
          <w:rFonts w:ascii="Arial" w:hAnsi="Arial" w:cs="Arial"/>
          <w:color w:val="000000" w:themeColor="text1"/>
        </w:rPr>
        <w:footnoteReference w:id="49"/>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I. Garantizada por el artículo 24 la libertad de creencias, dicha Educación será laica y, por tanto, se mantendrá por completo ajena a cualquier doctrina religiosa</w:t>
      </w:r>
      <w:r w:rsidRPr="003B025A">
        <w:rPr>
          <w:rStyle w:val="Refdenotaalpie"/>
          <w:rFonts w:ascii="Arial" w:hAnsi="Arial" w:cs="Arial"/>
          <w:color w:val="000000" w:themeColor="text1"/>
        </w:rPr>
        <w:footnoteReference w:id="50"/>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3B025A">
        <w:rPr>
          <w:rStyle w:val="Refdenotaalpie"/>
          <w:rFonts w:ascii="Arial" w:hAnsi="Arial" w:cs="Arial"/>
          <w:color w:val="000000" w:themeColor="text1"/>
        </w:rPr>
        <w:footnoteReference w:id="51"/>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 xml:space="preserve">Además: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414C05" w:rsidRPr="003B025A" w:rsidRDefault="00414C05" w:rsidP="003B025A">
      <w:pPr>
        <w:spacing w:after="240" w:line="360" w:lineRule="auto"/>
        <w:ind w:left="708"/>
        <w:jc w:val="both"/>
        <w:rPr>
          <w:rFonts w:ascii="Arial" w:hAnsi="Arial" w:cs="Arial"/>
          <w:color w:val="000000" w:themeColor="text1"/>
        </w:rPr>
      </w:pPr>
      <w:r w:rsidRPr="003B025A">
        <w:rPr>
          <w:rFonts w:ascii="Arial" w:hAnsi="Arial" w:cs="Arial"/>
          <w:color w:val="000000" w:themeColor="text1"/>
        </w:rPr>
        <w:t xml:space="preserve">B) Será nacional,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cultura y, </w:t>
      </w:r>
    </w:p>
    <w:p w:rsidR="00414C05" w:rsidRPr="003B025A" w:rsidRDefault="00414C05" w:rsidP="003B025A">
      <w:pPr>
        <w:spacing w:after="240" w:line="360" w:lineRule="auto"/>
        <w:ind w:left="708"/>
        <w:jc w:val="both"/>
        <w:rPr>
          <w:rFonts w:ascii="Arial" w:hAnsi="Arial" w:cs="Arial"/>
          <w:color w:val="000000" w:themeColor="text1"/>
          <w:lang w:eastAsia="es-MX"/>
        </w:rPr>
      </w:pPr>
      <w:r w:rsidRPr="003B025A">
        <w:rPr>
          <w:rFonts w:ascii="Arial" w:hAnsi="Arial" w:cs="Arial"/>
          <w:color w:val="000000" w:themeColor="text1"/>
        </w:rPr>
        <w:lastRenderedPageBreak/>
        <w:t>C) Contribuirá a la mejor convivencia humana, a fin de fortalecer el aprecio y respeto por la diversidad cultural, la dignidad de la persona, la integridad de la familia, la convicción del interés general de la sociedad, los ideales de fraternidad e igualdad de derechos de todos, evitando los privilegios de razas, de religión, de grupos, de sexos o de individuos</w:t>
      </w:r>
      <w:r w:rsidRPr="003B025A">
        <w:rPr>
          <w:rStyle w:val="Refdenotaalpie"/>
          <w:rFonts w:ascii="Arial" w:hAnsi="Arial" w:cs="Arial"/>
          <w:color w:val="000000" w:themeColor="text1"/>
        </w:rPr>
        <w:footnoteReference w:id="52"/>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III. Para dar pleno cumplimiento a lo dispuesto en el segundo párrafo y en la fracción II el Ejecutivo Federal determinará los planes y programas de estudio de la educación preescolar, primaria, secundaria y normal para toda la República, para tales efectos, el Ejecutivo Federal considerará la opinión de los gobiernos de las entidades federativas, así como de los diversos sectores sociales involucrados en la educación,(…) en los términos que la ley señale</w:t>
      </w:r>
      <w:r w:rsidRPr="003B025A">
        <w:rPr>
          <w:rStyle w:val="Refdenotaalpie"/>
          <w:rFonts w:ascii="Arial" w:hAnsi="Arial" w:cs="Arial"/>
          <w:color w:val="000000" w:themeColor="text1"/>
        </w:rPr>
        <w:footnoteReference w:id="53"/>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lang w:eastAsia="es-MX"/>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IV. Toda la Educación que el estado imparta será gratuita</w:t>
      </w:r>
      <w:r w:rsidRPr="003B025A">
        <w:rPr>
          <w:rStyle w:val="Refdenotaalpie"/>
          <w:rFonts w:ascii="Arial" w:hAnsi="Arial" w:cs="Arial"/>
          <w:color w:val="000000" w:themeColor="text1"/>
        </w:rPr>
        <w:footnoteReference w:id="54"/>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 Además de impartir la educación preescolar, primaria, secundaria y media superior, señaladas en el primer párrafo, el Estado promoverá y atenderá todos los tipos y modalidades educativos – incluyendo la educación inicial y a la educación superior- necesarios para el desarrollo de la nación, apoyará la investigación científica y tecnológica, y alentará el fortalecimiento y difusión de nuestra cultura</w:t>
      </w:r>
      <w:r w:rsidRPr="003B025A">
        <w:rPr>
          <w:rStyle w:val="Refdenotaalpie"/>
          <w:rFonts w:ascii="Arial" w:hAnsi="Arial" w:cs="Arial"/>
          <w:color w:val="000000" w:themeColor="text1"/>
        </w:rPr>
        <w:footnoteReference w:id="55"/>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 Los particulares podrán impartir educación en todos sus tipos y modalidades. En los términos que establezca la ley, el Estado otorgará y reiterará el reconocimiento de validez oficial a los estudios que se realicen en planteles particulares. En el caso de la educación preescolar, primaria, secundaria y normal, los particulares deberán:</w:t>
      </w:r>
    </w:p>
    <w:p w:rsidR="00414C05" w:rsidRPr="003B025A" w:rsidRDefault="00414C05" w:rsidP="003B025A">
      <w:pPr>
        <w:spacing w:after="240" w:line="360" w:lineRule="auto"/>
        <w:jc w:val="both"/>
        <w:rPr>
          <w:rFonts w:ascii="Arial" w:hAnsi="Arial" w:cs="Arial"/>
          <w:color w:val="3F3F3F"/>
          <w:lang w:val="es-ES"/>
        </w:rPr>
      </w:pPr>
      <w:r w:rsidRPr="003B025A">
        <w:rPr>
          <w:rFonts w:ascii="Arial" w:hAnsi="Arial" w:cs="Arial"/>
          <w:color w:val="3F3F3F"/>
          <w:lang w:val="es-ES"/>
        </w:rPr>
        <w:t xml:space="preserve">a) Impartir la educación con apego a los mismos fines y criterios que establecen el segundo párrafo y la fracción II, así como cumplir los planes y programas a que se refiere la fracción III, y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3F3F3F"/>
          <w:lang w:val="es-ES"/>
        </w:rPr>
        <w:lastRenderedPageBreak/>
        <w:t>b) Obtener previamente, en cada caso, la autorización expresa del poder público, en los términos que establezca la ley</w:t>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VII. Las universidades y las demás instituciones de educación superior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discusión de las ideas; determinarán sus planes y programas; fijaran los términos de ingreso, promoción y permanencia de su personal académico; y administrarán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3B025A">
        <w:rPr>
          <w:rStyle w:val="Refdenotaalpie"/>
          <w:rFonts w:ascii="Arial" w:hAnsi="Arial" w:cs="Arial"/>
          <w:color w:val="000000" w:themeColor="text1"/>
        </w:rPr>
        <w:footnoteReference w:id="56"/>
      </w:r>
      <w:r w:rsidRPr="003B025A">
        <w:rPr>
          <w:rFonts w:ascii="Arial" w:hAnsi="Arial" w:cs="Arial"/>
          <w:color w:val="000000" w:themeColor="text1"/>
        </w:rPr>
        <w:t xml:space="preserve"> </w:t>
      </w:r>
    </w:p>
    <w:p w:rsidR="00414C05" w:rsidRPr="003B025A" w:rsidRDefault="00414C05" w:rsidP="003B025A">
      <w:pPr>
        <w:spacing w:after="240" w:line="360" w:lineRule="auto"/>
        <w:jc w:val="both"/>
        <w:rPr>
          <w:rFonts w:ascii="Arial" w:hAnsi="Arial" w:cs="Arial"/>
          <w:color w:val="000000" w:themeColor="text1"/>
          <w:lang w:eastAsia="es-MX"/>
        </w:rPr>
      </w:pPr>
      <w:r w:rsidRPr="003B025A">
        <w:rPr>
          <w:rFonts w:ascii="Arial" w:hAnsi="Arial" w:cs="Arial"/>
          <w:color w:val="000000" w:themeColor="text1"/>
        </w:rPr>
        <w:t>VIII. El Congreso de la Unión, con el fin de unificar y coordinar la educación en toda la República, expedirá las leyes necesarias destinadas a distribuir la función social educativa entre la Federación, los estados y los Municipios, a fijar las aportaciones económicas correspondientes a ese servicio público y a señalar las sanciones aplicables a los funcionarios que no cumplan o no hagan cumplir las disposiciones relativas, lo mismo que a todos aquellos que las infrinjan</w:t>
      </w:r>
      <w:r w:rsidRPr="003B025A">
        <w:rPr>
          <w:rStyle w:val="Refdenotaalpie"/>
          <w:rFonts w:ascii="Arial" w:hAnsi="Arial" w:cs="Arial"/>
          <w:color w:val="000000" w:themeColor="text1"/>
        </w:rPr>
        <w:footnoteReference w:id="57"/>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shd w:val="clear" w:color="auto" w:fill="FFFFFF" w:themeFill="background1"/>
        </w:rPr>
        <w:t>Artículo 4°.</w:t>
      </w:r>
      <w:r w:rsidRPr="003B025A">
        <w:rPr>
          <w:rFonts w:ascii="Arial" w:hAnsi="Arial" w:cs="Arial"/>
          <w:color w:val="000000" w:themeColor="text1"/>
        </w:rPr>
        <w:t xml:space="preserve"> …Toda persona tiene derecho a decidir de manera libre, responsable e informada sobre el número y el espaciamiento de sus hijos</w:t>
      </w:r>
      <w:r w:rsidRPr="003B025A">
        <w:rPr>
          <w:rStyle w:val="Refdenotaalpie"/>
          <w:rFonts w:ascii="Arial" w:hAnsi="Arial" w:cs="Arial"/>
          <w:color w:val="000000" w:themeColor="text1"/>
        </w:rPr>
        <w:footnoteReference w:id="58"/>
      </w:r>
      <w:r w:rsidRPr="003B025A">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3B025A">
        <w:rPr>
          <w:rStyle w:val="Refdenotaalpie"/>
          <w:rFonts w:ascii="Arial" w:hAnsi="Arial" w:cs="Arial"/>
          <w:color w:val="000000" w:themeColor="text1"/>
        </w:rPr>
        <w:footnoteReference w:id="59"/>
      </w:r>
      <w:r w:rsidRPr="003B025A">
        <w:rPr>
          <w:rFonts w:ascii="Arial" w:hAnsi="Arial" w:cs="Arial"/>
          <w:color w:val="000000" w:themeColor="text1"/>
        </w:rPr>
        <w:t>.</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artículos anteriores se manifiesta el alineamiento a la normatividad planteada por la Constitución de nuestro país.</w:t>
      </w:r>
    </w:p>
    <w:p w:rsidR="004F391F" w:rsidRDefault="00382DD9"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lastRenderedPageBreak/>
        <w:t>3.2</w:t>
      </w:r>
      <w:r>
        <w:rPr>
          <w:rFonts w:ascii="Arial" w:hAnsi="Arial" w:cs="Arial"/>
          <w:b/>
          <w:smallCaps/>
          <w:color w:val="000000" w:themeColor="text1"/>
        </w:rPr>
        <w:t xml:space="preserve">. </w:t>
      </w:r>
      <w:r w:rsidR="004F391F">
        <w:rPr>
          <w:rFonts w:ascii="Arial" w:hAnsi="Arial" w:cs="Arial"/>
          <w:b/>
        </w:rPr>
        <w:t>Ley General de Educación.</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3B025A">
        <w:rPr>
          <w:rStyle w:val="Refdenotaalpie"/>
          <w:rFonts w:ascii="Arial" w:hAnsi="Arial" w:cs="Arial"/>
          <w:color w:val="000000" w:themeColor="text1"/>
        </w:rPr>
        <w:footnoteReference w:id="60"/>
      </w:r>
      <w:r w:rsidRPr="003B025A">
        <w:rPr>
          <w:rFonts w:ascii="Arial" w:hAnsi="Arial" w:cs="Arial"/>
          <w:color w:val="000000" w:themeColor="text1"/>
        </w:rPr>
        <w:t>.</w:t>
      </w:r>
    </w:p>
    <w:p w:rsidR="00414C05" w:rsidRPr="003B025A" w:rsidRDefault="00414C05" w:rsidP="00382DD9">
      <w:pPr>
        <w:spacing w:after="240" w:line="360" w:lineRule="auto"/>
        <w:jc w:val="both"/>
        <w:rPr>
          <w:rFonts w:ascii="Arial" w:hAnsi="Arial" w:cs="Arial"/>
          <w:color w:val="000000" w:themeColor="text1"/>
        </w:rPr>
      </w:pPr>
      <w:r w:rsidRPr="003B025A">
        <w:rPr>
          <w:rFonts w:ascii="Arial" w:hAnsi="Arial" w:cs="Arial"/>
          <w:color w:val="000000" w:themeColor="text1"/>
        </w:rPr>
        <w:t>De igual manera se atiende esta Ley en lo referente a los Capítulos II, III y VI, en sus diferentes articulados donde se especifica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Capítulo ii. del federalismo educativo.</w:t>
      </w:r>
      <w:r w:rsidRPr="003B025A">
        <w:rPr>
          <w:rFonts w:ascii="Arial" w:hAnsi="Arial" w:cs="Arial"/>
          <w:smallCaps/>
          <w:color w:val="000000" w:themeColor="text1"/>
        </w:rPr>
        <w:t xml:space="preserve"> </w:t>
      </w:r>
      <w:r w:rsidRPr="003B025A">
        <w:rPr>
          <w:rFonts w:ascii="Arial" w:hAnsi="Arial" w:cs="Arial"/>
          <w:b/>
          <w:smallCaps/>
          <w:color w:val="000000" w:themeColor="text1"/>
        </w:rPr>
        <w:t>Artículo 24.-</w:t>
      </w:r>
      <w:r w:rsidRPr="003B025A">
        <w:rPr>
          <w:rFonts w:ascii="Arial" w:hAnsi="Arial" w:cs="Arial"/>
          <w:smallCaps/>
          <w:color w:val="000000" w:themeColor="text1"/>
        </w:rPr>
        <w:t xml:space="preserve"> </w:t>
      </w:r>
      <w:r w:rsidRPr="003B025A">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414C05" w:rsidRPr="003B025A" w:rsidRDefault="00414C05" w:rsidP="00382DD9">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sección cuarta.- de la evaluación del sistema educativo nacional</w:t>
      </w:r>
    </w:p>
    <w:p w:rsidR="00414C05" w:rsidRPr="003B025A" w:rsidRDefault="00414C05" w:rsidP="00382DD9">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29.</w:t>
      </w:r>
      <w:r w:rsidRPr="003B025A">
        <w:rPr>
          <w:rFonts w:ascii="Arial" w:hAnsi="Arial" w:cs="Arial"/>
          <w:b/>
          <w:color w:val="000000" w:themeColor="text1"/>
        </w:rPr>
        <w:t>-</w:t>
      </w:r>
      <w:r w:rsidRPr="003B025A">
        <w:rPr>
          <w:rFonts w:ascii="Arial" w:hAnsi="Arial" w:cs="Arial"/>
          <w:color w:val="000000" w:themeColor="text1"/>
        </w:rPr>
        <w:t xml:space="preserve"> Corresponde a Instituto Nacional para la Evaluación de la Educación (…) </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III.- …</w:t>
      </w:r>
      <w:r w:rsidRPr="003B025A">
        <w:rPr>
          <w:sz w:val="22"/>
          <w:szCs w:val="22"/>
        </w:rPr>
        <w:t xml:space="preserve"> </w:t>
      </w:r>
      <w:r w:rsidRPr="003B025A">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414C05" w:rsidRPr="003B025A"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3B025A">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30.-</w:t>
      </w:r>
      <w:r w:rsidRPr="003B025A">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lastRenderedPageBreak/>
        <w:t>Artículo 31.-</w:t>
      </w:r>
      <w:r w:rsidRPr="003B025A">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iii de la equidad de la educación. sección segunda.- de los planes y programas de estudio.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47.</w:t>
      </w:r>
      <w:r w:rsidRPr="003B025A">
        <w:rPr>
          <w:rFonts w:ascii="Arial" w:hAnsi="Arial" w:cs="Arial"/>
          <w:b/>
          <w:color w:val="000000" w:themeColor="text1"/>
        </w:rPr>
        <w:t xml:space="preserve"> </w:t>
      </w:r>
      <w:r w:rsidRPr="003B025A">
        <w:rPr>
          <w:rFonts w:ascii="Arial" w:hAnsi="Arial" w:cs="Arial"/>
          <w:color w:val="000000" w:themeColor="text1"/>
        </w:rPr>
        <w:t>Los contenidos de la educación serán definidos en planes y programas de estudio. En los planes de estudio deberán establecerse:</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propósitos de formación general y, en su caso, la adquisición de conocimientos, habilidades, capacidades y destrezas que correspondan a cada nivel educativo;</w:t>
      </w:r>
    </w:p>
    <w:p w:rsidR="00414C05" w:rsidRPr="003B025A"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3B025A">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t>Las secuencias indispensables que deben respetarse entre las asignaturas o unidades de aprendizaje que constituyen un nivel educativo, y</w:t>
      </w:r>
    </w:p>
    <w:p w:rsidR="00414C05" w:rsidRPr="003B025A" w:rsidRDefault="00414C05" w:rsidP="003B025A">
      <w:pPr>
        <w:pStyle w:val="Prrafodelista"/>
        <w:numPr>
          <w:ilvl w:val="0"/>
          <w:numId w:val="3"/>
        </w:numPr>
        <w:spacing w:after="240" w:line="360" w:lineRule="auto"/>
        <w:jc w:val="both"/>
        <w:rPr>
          <w:rFonts w:ascii="Arial" w:hAnsi="Arial" w:cs="Arial"/>
          <w:color w:val="000000" w:themeColor="text1"/>
        </w:rPr>
      </w:pPr>
      <w:r w:rsidRPr="003B025A">
        <w:rPr>
          <w:rFonts w:ascii="Arial" w:hAnsi="Arial" w:cs="Arial"/>
          <w:color w:val="000000" w:themeColor="text1"/>
        </w:rPr>
        <w:t>Los criterios y procedimientos de evaluación y acreditación para verificar que el educando cumple los propósitos de cada nivel educativo.</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 xml:space="preserve">Siendo la Universidad La Salle una Institución de Educación Privada se atiene en mayor medida a la normatividad especificada en el </w:t>
      </w:r>
      <w:r w:rsidRPr="003B025A">
        <w:rPr>
          <w:rFonts w:ascii="Arial" w:hAnsi="Arial" w:cs="Arial"/>
          <w:b/>
          <w:smallCaps/>
          <w:color w:val="000000" w:themeColor="text1"/>
        </w:rPr>
        <w:t>capítulo v. de la educación que impartan los particulares</w:t>
      </w:r>
      <w:r w:rsidRPr="003B025A">
        <w:rPr>
          <w:rFonts w:ascii="Arial" w:hAnsi="Arial" w:cs="Arial"/>
          <w:color w:val="000000" w:themeColor="text1"/>
        </w:rPr>
        <w:t>, que establece lo siguiente:</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54.-</w:t>
      </w:r>
      <w:r w:rsidRPr="003B025A">
        <w:rPr>
          <w:rFonts w:ascii="Arial" w:hAnsi="Arial" w:cs="Arial"/>
          <w:color w:val="000000" w:themeColor="text1"/>
        </w:rPr>
        <w:t xml:space="preserve"> Los particulares podrán impartir educación en todos sus tipos y modalidades.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 tratándose de estudios distintos de los antes mencionados, podrán obtener el reconocimiento de validez oficial de estudios.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lastRenderedPageBreak/>
        <w:t>La autorización y el reconocimiento serán específicos para cada plan de estudios. Para impartir nuevos estudios se requerirá, según el caso, la autorización o el reconocimiento respectivos.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55</w:t>
      </w:r>
      <w:r w:rsidRPr="003B025A">
        <w:rPr>
          <w:rFonts w:ascii="Arial" w:hAnsi="Arial" w:cs="Arial"/>
          <w:smallCaps/>
          <w:color w:val="000000" w:themeColor="text1"/>
        </w:rPr>
        <w:t>.-</w:t>
      </w:r>
      <w:r w:rsidRPr="003B025A">
        <w:rPr>
          <w:rFonts w:ascii="Arial" w:hAnsi="Arial" w:cs="Arial"/>
          <w:color w:val="000000" w:themeColor="text1"/>
        </w:rPr>
        <w:t xml:space="preserve"> las autorizaciones y los reconocimientos de validez oficial de estudios se otorgarán cuando los solicitantes cuenten: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 Con personal que acredite la preparación adecuada para impartir educación y, en su caso, satisfagan los demás requisitos a que se refiere el artículo 21;</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rsidR="00414C05" w:rsidRPr="003B025A" w:rsidRDefault="00414C05" w:rsidP="003B025A">
      <w:pPr>
        <w:spacing w:after="240" w:line="360" w:lineRule="auto"/>
        <w:ind w:left="705"/>
        <w:jc w:val="both"/>
        <w:rPr>
          <w:rFonts w:ascii="Arial" w:hAnsi="Arial" w:cs="Arial"/>
          <w:color w:val="000000" w:themeColor="text1"/>
        </w:rPr>
      </w:pPr>
      <w:r w:rsidRPr="003B025A">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57</w:t>
      </w:r>
      <w:r w:rsidRPr="003B025A">
        <w:rPr>
          <w:rFonts w:ascii="Arial" w:hAnsi="Arial" w:cs="Arial"/>
          <w:b/>
          <w:color w:val="000000" w:themeColor="text1"/>
        </w:rPr>
        <w:t>.-</w:t>
      </w:r>
      <w:r w:rsidRPr="003B025A">
        <w:rPr>
          <w:rFonts w:ascii="Arial" w:hAnsi="Arial" w:cs="Arial"/>
          <w:color w:val="000000" w:themeColor="text1"/>
        </w:rPr>
        <w:t xml:space="preserve"> Los particulares que impartan educación con autorización o con reconocimiento deberán:</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 xml:space="preserve"> I.- Cumplir con lo dispuesto en el artículo 3o. de la Constitución Política de los Estados Unidos Mexicanos, en la presente Ley y demás disposiciones aplicables;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 Cumplir con los planes y programas de estudio que las autoridades educativas competentes hayan determinado o considerado procedentes;</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III.- Proporcionar un mínimo de becas en los términos de los lineamientos generales que la autoridad que otorgue las autorizaciones o reconocimientos haya determinado;</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t>IV.- Cumplir los requisitos previstos en el artículo 55, y</w:t>
      </w:r>
    </w:p>
    <w:p w:rsidR="00414C05" w:rsidRPr="003B025A" w:rsidRDefault="00414C05" w:rsidP="003B025A">
      <w:pPr>
        <w:tabs>
          <w:tab w:val="left" w:pos="1134"/>
        </w:tabs>
        <w:spacing w:after="240" w:line="360" w:lineRule="auto"/>
        <w:ind w:left="709"/>
        <w:jc w:val="both"/>
        <w:rPr>
          <w:rFonts w:ascii="Arial" w:hAnsi="Arial" w:cs="Arial"/>
          <w:color w:val="000000" w:themeColor="text1"/>
        </w:rPr>
      </w:pPr>
      <w:r w:rsidRPr="003B025A">
        <w:rPr>
          <w:rFonts w:ascii="Arial" w:hAnsi="Arial" w:cs="Arial"/>
          <w:color w:val="000000" w:themeColor="text1"/>
        </w:rPr>
        <w:lastRenderedPageBreak/>
        <w:t>V.- Facilitar y colaborar en las actividades de evaluación, inspección y vigilancia que las autoridades competentes realicen u ordenen.</w:t>
      </w:r>
    </w:p>
    <w:p w:rsidR="00414C05" w:rsidRPr="003B025A" w:rsidRDefault="00414C05" w:rsidP="009566F6">
      <w:pPr>
        <w:spacing w:after="0" w:line="360" w:lineRule="auto"/>
        <w:jc w:val="both"/>
        <w:rPr>
          <w:rFonts w:ascii="Arial" w:hAnsi="Arial" w:cs="Arial"/>
          <w:smallCaps/>
          <w:color w:val="000000" w:themeColor="text1"/>
        </w:rPr>
      </w:pPr>
      <w:r w:rsidRPr="003B025A">
        <w:rPr>
          <w:rFonts w:ascii="Arial" w:hAnsi="Arial" w:cs="Arial"/>
          <w:b/>
          <w:smallCaps/>
          <w:color w:val="000000" w:themeColor="text1"/>
        </w:rPr>
        <w:t xml:space="preserve">capítulo vi. de la validez oficial de estudios y de la certificación de conocimientos. </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60.-</w:t>
      </w:r>
      <w:r w:rsidRPr="003B025A">
        <w:rPr>
          <w:rFonts w:ascii="Arial" w:hAnsi="Arial" w:cs="Arial"/>
          <w:color w:val="000000" w:themeColor="text1"/>
        </w:rPr>
        <w:t xml:space="preserve"> Los estudios realizados dentro del sistema educativo nacional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Dichos certificados, constancias, diplomas, títulos y grados deberán registrarse en el Sistema de Información y Gestión Educativa y tendrán validez en toda la República.</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color w:val="000000" w:themeColor="text1"/>
        </w:rPr>
        <w:t>La Secretaría promoverá que los estudios con validez oficial en la República sean reconocidos en el extranjero.</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ley reglamentaria del artículo 5º constitucional, relativo al ejercicio de las profesiones en la Ciudad de México.</w:t>
      </w:r>
      <w:r w:rsidRPr="003B025A">
        <w:rPr>
          <w:rStyle w:val="Refdenotaalpie"/>
          <w:rFonts w:ascii="Arial" w:hAnsi="Arial" w:cs="Arial"/>
          <w:b/>
          <w:smallCaps/>
          <w:color w:val="000000" w:themeColor="text1"/>
        </w:rPr>
        <w:footnoteReference w:id="61"/>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 condiciones que deben llenarse para obtener un título profesional</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8.-</w:t>
      </w:r>
      <w:r w:rsidRPr="003B025A">
        <w:rPr>
          <w:rFonts w:ascii="Arial" w:hAnsi="Arial" w:cs="Arial"/>
          <w:color w:val="000000" w:themeColor="text1"/>
        </w:rPr>
        <w:t xml:space="preserve"> Para obtener un título profesional es indispensable acreditar que se han cumplido los requisitos académicos previstos por las leyes aplicables.</w:t>
      </w: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9.-</w:t>
      </w:r>
      <w:r w:rsidRPr="003B025A">
        <w:rPr>
          <w:rFonts w:ascii="Arial" w:hAnsi="Arial" w:cs="Arial"/>
          <w:color w:val="000000" w:themeColor="text1"/>
        </w:rPr>
        <w:t xml:space="preserve"> Para que pueda registrarse un título profesional expedido por una institución que no forme parte del Sistema Educativo Nacional será necesario que la Secretaría de Educación Pública revalide, en su caso, los estudios correspondientes y que el interesado acredite haber prestado servicio social.</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iii instituciones autorizadas que deben expedir los títulos profesionales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sección primera títulos expedidos en la Ciudad de México</w:t>
      </w:r>
    </w:p>
    <w:p w:rsidR="00414C05" w:rsidRPr="003B025A" w:rsidRDefault="00414C05" w:rsidP="009566F6">
      <w:pPr>
        <w:spacing w:after="0" w:line="360" w:lineRule="auto"/>
        <w:jc w:val="both"/>
        <w:rPr>
          <w:rFonts w:ascii="Arial" w:hAnsi="Arial" w:cs="Arial"/>
          <w:color w:val="000000" w:themeColor="text1"/>
        </w:rPr>
      </w:pPr>
      <w:r w:rsidRPr="003B025A">
        <w:rPr>
          <w:rFonts w:ascii="Arial" w:hAnsi="Arial" w:cs="Arial"/>
          <w:b/>
          <w:smallCaps/>
          <w:color w:val="000000" w:themeColor="text1"/>
        </w:rPr>
        <w:t>artículo 10.</w:t>
      </w:r>
      <w:r w:rsidRPr="003B025A">
        <w:rPr>
          <w:rFonts w:ascii="Arial" w:hAnsi="Arial" w:cs="Arial"/>
          <w:b/>
          <w:color w:val="000000" w:themeColor="text1"/>
        </w:rPr>
        <w:t>-</w:t>
      </w:r>
      <w:r w:rsidRPr="003B025A">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414C05" w:rsidRPr="003B025A" w:rsidRDefault="00414C05" w:rsidP="003B025A">
      <w:pPr>
        <w:spacing w:after="240" w:line="360" w:lineRule="auto"/>
        <w:jc w:val="both"/>
        <w:rPr>
          <w:rFonts w:ascii="Arial" w:hAnsi="Arial" w:cs="Arial"/>
          <w:b/>
          <w:smallCaps/>
          <w:color w:val="000000" w:themeColor="text1"/>
        </w:rPr>
      </w:pPr>
    </w:p>
    <w:p w:rsidR="00414C05" w:rsidRPr="003B025A" w:rsidRDefault="00414C05" w:rsidP="003B025A">
      <w:pPr>
        <w:spacing w:after="240" w:line="360" w:lineRule="auto"/>
        <w:jc w:val="both"/>
        <w:rPr>
          <w:rFonts w:ascii="Arial" w:hAnsi="Arial" w:cs="Arial"/>
          <w:color w:val="000000" w:themeColor="text1"/>
        </w:rPr>
      </w:pPr>
      <w:r w:rsidRPr="003B025A">
        <w:rPr>
          <w:rFonts w:ascii="Arial" w:hAnsi="Arial" w:cs="Arial"/>
          <w:b/>
          <w:smallCaps/>
          <w:color w:val="000000" w:themeColor="text1"/>
        </w:rPr>
        <w:lastRenderedPageBreak/>
        <w:t>Artículo 11.-</w:t>
      </w:r>
      <w:r w:rsidRPr="003B025A">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414C05" w:rsidRPr="003B025A" w:rsidRDefault="00414C05" w:rsidP="009566F6">
      <w:pPr>
        <w:spacing w:after="0" w:line="360" w:lineRule="auto"/>
        <w:jc w:val="both"/>
        <w:rPr>
          <w:rFonts w:ascii="Arial" w:hAnsi="Arial" w:cs="Arial"/>
          <w:b/>
          <w:smallCaps/>
          <w:color w:val="000000" w:themeColor="text1"/>
        </w:rPr>
      </w:pPr>
      <w:r w:rsidRPr="003B025A">
        <w:rPr>
          <w:rFonts w:ascii="Arial" w:hAnsi="Arial" w:cs="Arial"/>
          <w:b/>
          <w:smallCaps/>
          <w:color w:val="000000" w:themeColor="text1"/>
        </w:rPr>
        <w:t>capítulo v. del ejercicio profesional</w:t>
      </w:r>
    </w:p>
    <w:p w:rsidR="00414C05" w:rsidRPr="003B025A" w:rsidRDefault="00414C05" w:rsidP="009566F6">
      <w:pPr>
        <w:spacing w:after="240" w:line="360" w:lineRule="auto"/>
        <w:jc w:val="both"/>
        <w:rPr>
          <w:rFonts w:ascii="Arial" w:hAnsi="Arial" w:cs="Arial"/>
          <w:color w:val="000000" w:themeColor="text1"/>
        </w:rPr>
      </w:pPr>
      <w:r w:rsidRPr="003B025A">
        <w:rPr>
          <w:rFonts w:ascii="Arial" w:hAnsi="Arial" w:cs="Arial"/>
          <w:b/>
          <w:smallCaps/>
          <w:color w:val="000000" w:themeColor="text1"/>
        </w:rPr>
        <w:t>artículo 24.-</w:t>
      </w:r>
      <w:r w:rsidRPr="003B025A">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se trate de simple consulta o la ostentación del carácter del profesionista por medio de tarjetas, anuncios, placas, insignias o de cualquier otro modo. No se reputará ejercicio profesional cualquier acto realizado en los casos graves con propósito de auxilio inmediato.</w:t>
      </w:r>
    </w:p>
    <w:p w:rsidR="009566F6" w:rsidRDefault="004F391F" w:rsidP="004F391F">
      <w:pPr>
        <w:spacing w:after="0" w:line="360" w:lineRule="auto"/>
        <w:jc w:val="both"/>
        <w:rPr>
          <w:rFonts w:ascii="Arial" w:hAnsi="Arial" w:cs="Arial"/>
          <w:b/>
          <w:smallCaps/>
          <w:color w:val="000000" w:themeColor="text1"/>
        </w:rPr>
      </w:pPr>
      <w:r w:rsidRPr="00382DD9">
        <w:rPr>
          <w:rFonts w:ascii="Arial" w:hAnsi="Arial" w:cs="Arial"/>
          <w:b/>
          <w:color w:val="000000" w:themeColor="text1"/>
        </w:rPr>
        <w:t>3.</w:t>
      </w:r>
      <w:r w:rsidR="002E7B3C">
        <w:rPr>
          <w:rFonts w:ascii="Arial" w:hAnsi="Arial" w:cs="Arial"/>
          <w:b/>
          <w:color w:val="000000" w:themeColor="text1"/>
        </w:rPr>
        <w:t>3</w:t>
      </w:r>
      <w:r>
        <w:rPr>
          <w:rFonts w:ascii="Arial" w:hAnsi="Arial" w:cs="Arial"/>
          <w:b/>
          <w:smallCaps/>
          <w:color w:val="000000" w:themeColor="text1"/>
        </w:rPr>
        <w:t xml:space="preserve">. </w:t>
      </w:r>
      <w:r>
        <w:rPr>
          <w:rFonts w:ascii="Arial" w:hAnsi="Arial" w:cs="Arial"/>
          <w:b/>
        </w:rPr>
        <w:t>Ley General de Salud.</w:t>
      </w:r>
      <w:r w:rsidR="00414C05" w:rsidRPr="009566F6">
        <w:rPr>
          <w:rStyle w:val="Refdenotaalpie"/>
          <w:rFonts w:ascii="Arial" w:hAnsi="Arial" w:cs="Arial"/>
          <w:smallCaps/>
          <w:color w:val="000000" w:themeColor="text1"/>
        </w:rPr>
        <w:footnoteReference w:id="62"/>
      </w:r>
    </w:p>
    <w:p w:rsidR="00414C05" w:rsidRPr="003B025A" w:rsidRDefault="00396A81" w:rsidP="009566F6">
      <w:pPr>
        <w:spacing w:after="240" w:line="360" w:lineRule="auto"/>
        <w:jc w:val="both"/>
        <w:rPr>
          <w:rFonts w:ascii="Arial" w:hAnsi="Arial" w:cs="Arial"/>
          <w:highlight w:val="lightGray"/>
        </w:rPr>
      </w:pPr>
      <w:r>
        <w:rPr>
          <w:rFonts w:ascii="Arial" w:hAnsi="Arial" w:cs="Arial"/>
          <w:color w:val="000000" w:themeColor="text1"/>
        </w:rPr>
        <w:t xml:space="preserve">El </w:t>
      </w:r>
      <w:r w:rsidR="00414C05" w:rsidRPr="003B025A">
        <w:rPr>
          <w:rFonts w:ascii="Arial" w:hAnsi="Arial" w:cs="Arial"/>
          <w:color w:val="000000" w:themeColor="text1"/>
        </w:rPr>
        <w:t xml:space="preserve">Capítulo Único del Título Primero, </w:t>
      </w:r>
      <w:r w:rsidR="00414C05" w:rsidRPr="003B025A">
        <w:rPr>
          <w:rFonts w:ascii="Arial" w:hAnsi="Arial" w:cs="Arial"/>
          <w:b/>
          <w:color w:val="000000" w:themeColor="text1"/>
        </w:rPr>
        <w:t>Artículo 2°</w:t>
      </w:r>
      <w:r w:rsidR="00414C05" w:rsidRPr="003B025A">
        <w:rPr>
          <w:rFonts w:ascii="Arial" w:hAnsi="Arial" w:cs="Arial"/>
          <w:color w:val="000000" w:themeColor="text1"/>
        </w:rPr>
        <w:t xml:space="preserve">, Fracciones I, II ,III y IV,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En el Título Cuarto sobre Recursos Humanos para los Servicios de Salud, Capítulo I </w:t>
      </w:r>
      <w:r w:rsidRPr="003B025A">
        <w:rPr>
          <w:rFonts w:ascii="Arial" w:hAnsi="Arial" w:cs="Arial"/>
          <w:b/>
        </w:rPr>
        <w:t>Artículo 81</w:t>
      </w:r>
      <w:r w:rsidRPr="003B025A">
        <w:rPr>
          <w:rFonts w:ascii="Arial" w:hAnsi="Arial" w:cs="Arial"/>
        </w:rPr>
        <w:t xml:space="preserve"> dice: La emisión de los diplomas de especialidades médicas corresponde a las instituciones de educación superior y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El Comité Normativo Nacional de Consejos de Especialidades Médicas tendrá la naturaleza de organismo auxiliar de la Administración Pública Federal a efecto de supervisar el entrenamiento, habilidades, destrezas y calificación de la pericia que se requiere para la certificación y recertificación de la misma en las diferentes especialidades de la medicina </w:t>
      </w:r>
      <w:r w:rsidRPr="003B025A">
        <w:rPr>
          <w:rFonts w:ascii="Arial" w:hAnsi="Arial" w:cs="Arial"/>
        </w:rPr>
        <w:lastRenderedPageBreak/>
        <w:t>reconocidas por el Comité y en las instituciones de salud oficialmente reconocidas ante las autoridades correspondientes.</w:t>
      </w:r>
    </w:p>
    <w:p w:rsidR="00414C05" w:rsidRPr="003B025A" w:rsidRDefault="00414C05" w:rsidP="003B025A">
      <w:pPr>
        <w:spacing w:after="240" w:line="360" w:lineRule="auto"/>
        <w:jc w:val="both"/>
        <w:rPr>
          <w:rFonts w:ascii="Arial" w:hAnsi="Arial" w:cs="Arial"/>
        </w:rPr>
      </w:pPr>
      <w:r w:rsidRPr="003B025A">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414C05" w:rsidRPr="003B025A" w:rsidRDefault="00414C05" w:rsidP="003B025A">
      <w:pPr>
        <w:spacing w:after="240" w:line="360" w:lineRule="auto"/>
        <w:jc w:val="both"/>
        <w:rPr>
          <w:rFonts w:ascii="Arial" w:hAnsi="Arial" w:cs="Arial"/>
        </w:rPr>
      </w:pPr>
      <w:r w:rsidRPr="003B025A">
        <w:rPr>
          <w:rFonts w:ascii="Arial" w:hAnsi="Arial" w:cs="Arial"/>
        </w:rPr>
        <w:t>Para la expedición de la cédula de médico especialista las autoridades educativas competentes solicitarán la opinión del Comité Normativo Nacional de Consejos de Especialidades Médicas</w:t>
      </w:r>
      <w:r w:rsidRPr="003B025A">
        <w:rPr>
          <w:rStyle w:val="Refdenotaalpie"/>
          <w:rFonts w:ascii="Arial" w:hAnsi="Arial" w:cs="Arial"/>
        </w:rPr>
        <w:footnoteReference w:id="63"/>
      </w:r>
      <w:r w:rsidRPr="003B025A">
        <w:rPr>
          <w:rFonts w:ascii="Arial" w:hAnsi="Arial" w:cs="Arial"/>
        </w:rPr>
        <w:t>.</w:t>
      </w:r>
    </w:p>
    <w:p w:rsidR="00414C05" w:rsidRPr="003B025A" w:rsidRDefault="00414C05" w:rsidP="00396A81">
      <w:pPr>
        <w:spacing w:after="240" w:line="360" w:lineRule="auto"/>
        <w:jc w:val="both"/>
        <w:rPr>
          <w:rFonts w:ascii="Arial" w:hAnsi="Arial" w:cs="Arial"/>
        </w:rPr>
      </w:pPr>
      <w:r w:rsidRPr="003B025A">
        <w:rPr>
          <w:rFonts w:ascii="Arial" w:hAnsi="Arial" w:cs="Arial"/>
          <w:b/>
        </w:rPr>
        <w:t>Artículo 82.-</w:t>
      </w:r>
      <w:r w:rsidRPr="003B025A">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414C05" w:rsidRPr="003B025A" w:rsidRDefault="00414C05" w:rsidP="00396A81">
      <w:pPr>
        <w:spacing w:after="240" w:line="360" w:lineRule="auto"/>
        <w:jc w:val="both"/>
        <w:rPr>
          <w:rFonts w:ascii="Arial" w:hAnsi="Arial" w:cs="Arial"/>
        </w:rPr>
      </w:pPr>
      <w:r w:rsidRPr="003B025A">
        <w:rPr>
          <w:rFonts w:ascii="Arial" w:hAnsi="Arial" w:cs="Arial"/>
          <w:b/>
        </w:rPr>
        <w:t>Artículo 83.</w:t>
      </w:r>
      <w:r w:rsidRPr="003B025A">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sidRPr="003B025A">
        <w:rPr>
          <w:rStyle w:val="Refdenotaalpie"/>
          <w:rFonts w:ascii="Arial" w:hAnsi="Arial" w:cs="Arial"/>
        </w:rPr>
        <w:footnoteReference w:id="64"/>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Capítulo III referido a la Formación, Capacitación y Actualización del Personal, </w:t>
      </w:r>
      <w:r w:rsidRPr="003B025A">
        <w:rPr>
          <w:rFonts w:ascii="Arial" w:hAnsi="Arial" w:cs="Arial"/>
          <w:b/>
        </w:rPr>
        <w:t>Artículo 89</w:t>
      </w:r>
      <w:r w:rsidRPr="003B025A">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414C05" w:rsidRPr="003B025A" w:rsidRDefault="00414C05" w:rsidP="003B025A">
      <w:pPr>
        <w:spacing w:after="240" w:line="360" w:lineRule="auto"/>
        <w:jc w:val="both"/>
        <w:rPr>
          <w:rFonts w:ascii="Arial" w:hAnsi="Arial" w:cs="Arial"/>
        </w:rPr>
      </w:pPr>
      <w:r w:rsidRPr="003B025A">
        <w:rPr>
          <w:rFonts w:ascii="Arial" w:hAnsi="Arial" w:cs="Arial"/>
        </w:rPr>
        <w:t xml:space="preserve">Las autoridades sanitarias, sin perjuicio de la competencia que sobre la materia corresponda a las autoridades educativas y en coordinación con ellas, así como con la </w:t>
      </w:r>
      <w:r w:rsidR="007071CE">
        <w:rPr>
          <w:rFonts w:ascii="Arial" w:hAnsi="Arial" w:cs="Arial"/>
        </w:rPr>
        <w:t>p</w:t>
      </w:r>
      <w:r w:rsidRPr="003B025A">
        <w:rPr>
          <w:rFonts w:ascii="Arial" w:hAnsi="Arial" w:cs="Arial"/>
        </w:rPr>
        <w:t>articipación de las instituciones de salud, establecerán las normas y criterios para la capacitación y actualización de los recursos humanos para la salud.</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lastRenderedPageBreak/>
        <w:t>Artículo 91.</w:t>
      </w:r>
      <w:r w:rsidRPr="003B025A">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El señalamiento de los requisitos para la apertura y funcionamiento de instituciones dedicadas a la formación de recursos humanos para la salud, en los diferentes niveles académicos y técnicos, y</w:t>
      </w:r>
    </w:p>
    <w:p w:rsidR="00414C05" w:rsidRPr="003B025A"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3B025A">
        <w:rPr>
          <w:rFonts w:ascii="Arial" w:hAnsi="Arial" w:cs="Arial"/>
        </w:rPr>
        <w:t>En la definición del perfil de los profesionales para la salud en sus etapas de formación.</w:t>
      </w:r>
    </w:p>
    <w:p w:rsidR="00414C05" w:rsidRPr="003B025A" w:rsidRDefault="00414C05" w:rsidP="003B025A">
      <w:pPr>
        <w:autoSpaceDE w:val="0"/>
        <w:autoSpaceDN w:val="0"/>
        <w:adjustRightInd w:val="0"/>
        <w:spacing w:after="240" w:line="360" w:lineRule="auto"/>
        <w:jc w:val="both"/>
        <w:rPr>
          <w:rFonts w:ascii="Arial" w:hAnsi="Arial" w:cs="Arial"/>
        </w:rPr>
      </w:pPr>
      <w:r w:rsidRPr="003B025A">
        <w:rPr>
          <w:rFonts w:ascii="Arial" w:hAnsi="Arial" w:cs="Arial"/>
          <w:b/>
        </w:rPr>
        <w:t>Artículo 92</w:t>
      </w:r>
      <w:r w:rsidRPr="003B025A">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3B025A">
        <w:rPr>
          <w:rStyle w:val="Refdenotaalpie"/>
          <w:rFonts w:ascii="Arial" w:hAnsi="Arial" w:cs="Arial"/>
        </w:rPr>
        <w:footnoteReference w:id="65"/>
      </w:r>
      <w:r w:rsidRPr="003B025A">
        <w:rPr>
          <w:rFonts w:ascii="Arial" w:hAnsi="Arial" w:cs="Arial"/>
        </w:rPr>
        <w:t>.</w:t>
      </w:r>
    </w:p>
    <w:p w:rsidR="00414C05" w:rsidRPr="003B025A" w:rsidRDefault="00414C05" w:rsidP="003B025A">
      <w:pPr>
        <w:spacing w:after="240" w:line="360" w:lineRule="auto"/>
        <w:jc w:val="both"/>
        <w:rPr>
          <w:rFonts w:ascii="Arial" w:hAnsi="Arial" w:cs="Arial"/>
        </w:rPr>
      </w:pPr>
      <w:r w:rsidRPr="003B025A">
        <w:rPr>
          <w:rFonts w:ascii="Arial" w:hAnsi="Arial" w:cs="Arial"/>
          <w:b/>
        </w:rPr>
        <w:t>Artículo 95.</w:t>
      </w:r>
      <w:r w:rsidRPr="003B025A">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414C05" w:rsidRDefault="00414C05" w:rsidP="003B025A">
      <w:pPr>
        <w:spacing w:after="240" w:line="360" w:lineRule="auto"/>
        <w:jc w:val="both"/>
        <w:rPr>
          <w:rFonts w:ascii="Arial" w:hAnsi="Arial" w:cs="Arial"/>
        </w:rPr>
      </w:pPr>
      <w:r w:rsidRPr="003B025A">
        <w:rPr>
          <w:rFonts w:ascii="Arial" w:hAnsi="Arial" w:cs="Arial"/>
        </w:rPr>
        <w:t>La operación de los programas correspondientes en los establecimientos de salud, se llevará a cabo de acuerdo a los lineamientos establecidos por cada una de las instituciones de salud y lo que determinen las autoridades sanitarias competentes.</w:t>
      </w:r>
    </w:p>
    <w:p w:rsidR="00955DAF" w:rsidRDefault="00A40033" w:rsidP="00955DAF">
      <w:pPr>
        <w:spacing w:after="240" w:line="360" w:lineRule="auto"/>
        <w:jc w:val="both"/>
        <w:rPr>
          <w:rFonts w:ascii="Arial" w:hAnsi="Arial" w:cs="Arial"/>
        </w:rPr>
      </w:pPr>
      <w:r>
        <w:rPr>
          <w:rFonts w:ascii="Arial" w:hAnsi="Arial" w:cs="Arial"/>
          <w:b/>
        </w:rPr>
        <w:t>Art</w:t>
      </w:r>
      <w:r w:rsidR="009216C5">
        <w:rPr>
          <w:rFonts w:ascii="Arial" w:hAnsi="Arial" w:cs="Arial"/>
          <w:b/>
        </w:rPr>
        <w:t xml:space="preserve">ículo 96. </w:t>
      </w:r>
      <w:r w:rsidR="00955DAF">
        <w:rPr>
          <w:rFonts w:ascii="Arial" w:hAnsi="Arial" w:cs="Arial"/>
          <w:b/>
        </w:rPr>
        <w:t xml:space="preserve"> </w:t>
      </w:r>
      <w:r w:rsidR="00955DAF">
        <w:rPr>
          <w:rFonts w:ascii="Arial" w:hAnsi="Arial" w:cs="Arial"/>
        </w:rPr>
        <w:t>La investigación para la salud comprende el desarrollo de acciones que contribuyan:</w:t>
      </w:r>
    </w:p>
    <w:p w:rsidR="00955DAF" w:rsidRDefault="00955DAF" w:rsidP="00955DAF">
      <w:pPr>
        <w:pStyle w:val="Prrafodelista"/>
        <w:numPr>
          <w:ilvl w:val="0"/>
          <w:numId w:val="6"/>
        </w:numPr>
        <w:spacing w:after="240" w:line="360" w:lineRule="auto"/>
        <w:jc w:val="both"/>
        <w:rPr>
          <w:rFonts w:ascii="Arial" w:hAnsi="Arial" w:cs="Arial"/>
        </w:rPr>
      </w:pPr>
      <w:r>
        <w:rPr>
          <w:rFonts w:ascii="Arial" w:hAnsi="Arial" w:cs="Arial"/>
        </w:rPr>
        <w:t>Al conocimiento de los procesos biológicos y p</w:t>
      </w:r>
      <w:r w:rsidR="00190F19">
        <w:rPr>
          <w:rFonts w:ascii="Arial" w:hAnsi="Arial" w:cs="Arial"/>
        </w:rPr>
        <w:t xml:space="preserve">sicológicos en los seres humanos; </w:t>
      </w:r>
    </w:p>
    <w:p w:rsidR="00190F19"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conocimiento de los vínculo</w:t>
      </w:r>
      <w:r w:rsidR="00190F19">
        <w:rPr>
          <w:rFonts w:ascii="Arial" w:hAnsi="Arial" w:cs="Arial"/>
        </w:rPr>
        <w:t xml:space="preserve">s entre las causas de enfermedad, ña práctica médica y la estructura social; </w:t>
      </w:r>
    </w:p>
    <w:p w:rsidR="00190F19" w:rsidRDefault="00190F19" w:rsidP="00955DAF">
      <w:pPr>
        <w:pStyle w:val="Prrafodelista"/>
        <w:numPr>
          <w:ilvl w:val="0"/>
          <w:numId w:val="6"/>
        </w:numPr>
        <w:spacing w:after="240" w:line="360" w:lineRule="auto"/>
        <w:jc w:val="both"/>
        <w:rPr>
          <w:rFonts w:ascii="Arial" w:hAnsi="Arial" w:cs="Arial"/>
        </w:rPr>
      </w:pPr>
      <w:r>
        <w:rPr>
          <w:rFonts w:ascii="Arial" w:hAnsi="Arial" w:cs="Arial"/>
        </w:rPr>
        <w:t>A la prevención y control de los problemas de salud</w:t>
      </w:r>
      <w:r w:rsidR="00B00D67">
        <w:rPr>
          <w:rFonts w:ascii="Arial" w:hAnsi="Arial" w:cs="Arial"/>
        </w:rPr>
        <w:t xml:space="preserve"> que se consideren</w:t>
      </w:r>
      <w:r w:rsidR="00385463">
        <w:rPr>
          <w:rFonts w:ascii="Arial" w:hAnsi="Arial" w:cs="Arial"/>
        </w:rPr>
        <w:t xml:space="preserve"> prioritarios para la población;</w:t>
      </w:r>
    </w:p>
    <w:p w:rsidR="00B00D67" w:rsidRDefault="00B00D67" w:rsidP="00955DAF">
      <w:pPr>
        <w:pStyle w:val="Prrafodelista"/>
        <w:numPr>
          <w:ilvl w:val="0"/>
          <w:numId w:val="6"/>
        </w:numPr>
        <w:spacing w:after="240" w:line="360" w:lineRule="auto"/>
        <w:jc w:val="both"/>
        <w:rPr>
          <w:rFonts w:ascii="Arial" w:hAnsi="Arial" w:cs="Arial"/>
        </w:rPr>
      </w:pPr>
      <w:r>
        <w:rPr>
          <w:rFonts w:ascii="Arial" w:hAnsi="Arial" w:cs="Arial"/>
        </w:rPr>
        <w:t>Al cono</w:t>
      </w:r>
      <w:r w:rsidR="00385463">
        <w:rPr>
          <w:rFonts w:ascii="Arial" w:hAnsi="Arial" w:cs="Arial"/>
        </w:rPr>
        <w:t>cimiento y control de los efectos nocivos del ambiente en salud;</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lastRenderedPageBreak/>
        <w:t xml:space="preserve">Al estudio de las técnicas y métodos que se recomienden o empleen para la prestación de servicios de salud; y </w:t>
      </w:r>
    </w:p>
    <w:p w:rsidR="00385463" w:rsidRDefault="00385463" w:rsidP="00955DAF">
      <w:pPr>
        <w:pStyle w:val="Prrafodelista"/>
        <w:numPr>
          <w:ilvl w:val="0"/>
          <w:numId w:val="6"/>
        </w:numPr>
        <w:spacing w:after="240" w:line="360" w:lineRule="auto"/>
        <w:jc w:val="both"/>
        <w:rPr>
          <w:rFonts w:ascii="Arial" w:hAnsi="Arial" w:cs="Arial"/>
        </w:rPr>
      </w:pPr>
      <w:r>
        <w:rPr>
          <w:rFonts w:ascii="Arial" w:hAnsi="Arial" w:cs="Arial"/>
        </w:rPr>
        <w:t>A la producción nacional de insumos para la salud.</w:t>
      </w:r>
    </w:p>
    <w:p w:rsidR="00385463" w:rsidRDefault="00385463" w:rsidP="00385463">
      <w:pPr>
        <w:spacing w:after="240" w:line="360" w:lineRule="auto"/>
        <w:jc w:val="both"/>
        <w:rPr>
          <w:rFonts w:ascii="Arial" w:hAnsi="Arial" w:cs="Arial"/>
        </w:rPr>
      </w:pPr>
      <w:r>
        <w:rPr>
          <w:rFonts w:ascii="Arial" w:hAnsi="Arial" w:cs="Arial"/>
        </w:rPr>
        <w:t>Asimismo, se entenderá lo dispuesto en el Reglamento de la Ley General de Salud en Materia de Investigación para la Salud, publicado en el Diario Oficial de la Federación el 23 de diciembre de 1986.</w:t>
      </w:r>
    </w:p>
    <w:p w:rsidR="00385463" w:rsidRDefault="00385463" w:rsidP="00385463">
      <w:pPr>
        <w:spacing w:after="240" w:line="360" w:lineRule="auto"/>
        <w:jc w:val="both"/>
        <w:rPr>
          <w:rFonts w:ascii="Arial" w:hAnsi="Arial" w:cs="Arial"/>
        </w:rPr>
      </w:pPr>
      <w:r>
        <w:rPr>
          <w:rFonts w:ascii="Arial" w:hAnsi="Arial" w:cs="Arial"/>
        </w:rPr>
        <w:t>La operación de los programas correspondientes en los establecimientos de salud, se llevará a cabo de acuerdo a los lineamientos establecidos por cada una de las instituciones de salud y lio que determinen las autoridades sanitarias competentes.</w:t>
      </w:r>
    </w:p>
    <w:p w:rsidR="000551A4" w:rsidRDefault="000551A4" w:rsidP="002E7B3C">
      <w:pPr>
        <w:spacing w:after="0" w:line="360" w:lineRule="auto"/>
        <w:jc w:val="both"/>
        <w:rPr>
          <w:rFonts w:ascii="Arial" w:hAnsi="Arial" w:cs="Arial"/>
          <w:b/>
        </w:rPr>
      </w:pPr>
      <w:r>
        <w:rPr>
          <w:rFonts w:ascii="Arial" w:hAnsi="Arial" w:cs="Arial"/>
          <w:b/>
        </w:rPr>
        <w:t>3.4 Normas Oficiales Mexicanas</w:t>
      </w:r>
    </w:p>
    <w:p w:rsidR="006F75DB" w:rsidRPr="005075F2" w:rsidRDefault="000551A4" w:rsidP="00385463">
      <w:pPr>
        <w:spacing w:after="240" w:line="360" w:lineRule="auto"/>
        <w:jc w:val="both"/>
        <w:rPr>
          <w:rFonts w:ascii="Arial" w:hAnsi="Arial" w:cs="Arial"/>
        </w:rPr>
      </w:pPr>
      <w:r>
        <w:rPr>
          <w:rFonts w:ascii="Arial" w:hAnsi="Arial" w:cs="Arial"/>
        </w:rPr>
        <w:t>La principal regulación relativa a la operación, organización, funcionamiento y la obtención de la Opinión Técnico Académica para el Programa de la Especialidad Médica en Cirugía General, es:</w:t>
      </w:r>
      <w:r w:rsidR="006F75DB" w:rsidRPr="005075F2">
        <w:rPr>
          <w:rFonts w:ascii="Arial" w:hAnsi="Arial" w:cs="Arial"/>
        </w:rPr>
        <w:t xml:space="preserve"> </w:t>
      </w:r>
    </w:p>
    <w:p w:rsidR="006F75DB" w:rsidRDefault="00CD4E4C" w:rsidP="001D5556">
      <w:pPr>
        <w:pStyle w:val="Prrafodelista"/>
        <w:numPr>
          <w:ilvl w:val="0"/>
          <w:numId w:val="7"/>
        </w:numPr>
        <w:spacing w:after="240" w:line="360" w:lineRule="auto"/>
        <w:ind w:left="714" w:hanging="357"/>
        <w:jc w:val="both"/>
        <w:rPr>
          <w:rFonts w:ascii="Arial" w:hAnsi="Arial" w:cs="Arial"/>
          <w:b/>
        </w:rPr>
      </w:pPr>
      <w:r w:rsidRPr="006D56B3">
        <w:rPr>
          <w:rFonts w:ascii="Arial" w:hAnsi="Arial" w:cs="Arial"/>
        </w:rPr>
        <w:t>NORMA Oficial Mexicana NOM-017-SSA2-</w:t>
      </w:r>
      <w:r w:rsidR="00EC2BAF">
        <w:rPr>
          <w:rFonts w:ascii="Arial" w:hAnsi="Arial" w:cs="Arial"/>
        </w:rPr>
        <w:t>2012</w:t>
      </w:r>
      <w:r w:rsidRPr="006D56B3">
        <w:rPr>
          <w:rFonts w:ascii="Arial" w:hAnsi="Arial" w:cs="Arial"/>
        </w:rPr>
        <w:t xml:space="preserve">, Para la </w:t>
      </w:r>
      <w:r w:rsidRPr="006D56B3">
        <w:rPr>
          <w:rFonts w:ascii="Arial" w:hAnsi="Arial" w:cs="Arial"/>
          <w:b/>
        </w:rPr>
        <w:t>vigilancia epidemiológica</w:t>
      </w:r>
    </w:p>
    <w:p w:rsidR="006D56B3" w:rsidRPr="006D56B3" w:rsidRDefault="006D56B3" w:rsidP="001D5556">
      <w:pPr>
        <w:pStyle w:val="Prrafodelista"/>
        <w:numPr>
          <w:ilvl w:val="0"/>
          <w:numId w:val="7"/>
        </w:numPr>
        <w:spacing w:after="240" w:line="360" w:lineRule="auto"/>
        <w:ind w:left="714" w:hanging="357"/>
        <w:jc w:val="both"/>
        <w:rPr>
          <w:rFonts w:ascii="Arial" w:hAnsi="Arial" w:cs="Arial"/>
          <w:b/>
        </w:rPr>
      </w:pPr>
      <w:r>
        <w:rPr>
          <w:rFonts w:ascii="Arial" w:hAnsi="Arial" w:cs="Arial"/>
        </w:rPr>
        <w:t xml:space="preserve">NORMA </w:t>
      </w:r>
      <w:r w:rsidRPr="006D56B3">
        <w:rPr>
          <w:rFonts w:ascii="Arial" w:hAnsi="Arial" w:cs="Arial"/>
        </w:rPr>
        <w:t>Oficial Mexicana NOM-0</w:t>
      </w:r>
      <w:r>
        <w:rPr>
          <w:rFonts w:ascii="Arial" w:hAnsi="Arial" w:cs="Arial"/>
        </w:rPr>
        <w:t>40</w:t>
      </w:r>
      <w:r w:rsidRPr="006D56B3">
        <w:rPr>
          <w:rFonts w:ascii="Arial" w:hAnsi="Arial" w:cs="Arial"/>
        </w:rPr>
        <w:t>-SSA2-</w:t>
      </w:r>
      <w:r>
        <w:rPr>
          <w:rFonts w:ascii="Arial" w:hAnsi="Arial" w:cs="Arial"/>
        </w:rPr>
        <w:t>200</w:t>
      </w:r>
      <w:r w:rsidRPr="006D56B3">
        <w:rPr>
          <w:rFonts w:ascii="Arial" w:hAnsi="Arial" w:cs="Arial"/>
        </w:rPr>
        <w:t>4</w:t>
      </w:r>
      <w:r>
        <w:rPr>
          <w:rFonts w:ascii="Arial" w:hAnsi="Arial" w:cs="Arial"/>
        </w:rPr>
        <w:t xml:space="preserve">, En materia </w:t>
      </w:r>
      <w:r w:rsidR="001161B6">
        <w:rPr>
          <w:rFonts w:ascii="Arial" w:hAnsi="Arial" w:cs="Arial"/>
        </w:rPr>
        <w:t>de</w:t>
      </w:r>
      <w:r>
        <w:rPr>
          <w:rFonts w:ascii="Arial" w:hAnsi="Arial" w:cs="Arial"/>
        </w:rPr>
        <w:t xml:space="preserve"> </w:t>
      </w:r>
      <w:r w:rsidRPr="006D56B3">
        <w:rPr>
          <w:rFonts w:ascii="Arial" w:hAnsi="Arial" w:cs="Arial"/>
          <w:b/>
        </w:rPr>
        <w:t xml:space="preserve">información </w:t>
      </w:r>
      <w:r>
        <w:rPr>
          <w:rFonts w:ascii="Arial" w:hAnsi="Arial" w:cs="Arial"/>
          <w:b/>
        </w:rPr>
        <w:t>en s</w:t>
      </w:r>
      <w:r w:rsidRPr="006D56B3">
        <w:rPr>
          <w:rFonts w:ascii="Arial" w:hAnsi="Arial" w:cs="Arial"/>
          <w:b/>
        </w:rPr>
        <w:t>alud</w:t>
      </w:r>
    </w:p>
    <w:p w:rsidR="00525C65" w:rsidRDefault="00525C65" w:rsidP="001D5556">
      <w:pPr>
        <w:pStyle w:val="Prrafodelista"/>
        <w:numPr>
          <w:ilvl w:val="0"/>
          <w:numId w:val="7"/>
        </w:numPr>
        <w:spacing w:after="240" w:line="360" w:lineRule="auto"/>
        <w:ind w:left="714" w:hanging="357"/>
        <w:jc w:val="both"/>
        <w:rPr>
          <w:rFonts w:ascii="Arial" w:hAnsi="Arial" w:cs="Arial"/>
          <w:b/>
        </w:rPr>
      </w:pPr>
      <w:r>
        <w:rPr>
          <w:rFonts w:ascii="Arial" w:hAnsi="Arial" w:cs="Arial"/>
        </w:rPr>
        <w:t xml:space="preserve">NORMA </w:t>
      </w:r>
      <w:r w:rsidRPr="006D56B3">
        <w:rPr>
          <w:rFonts w:ascii="Arial" w:hAnsi="Arial" w:cs="Arial"/>
        </w:rPr>
        <w:t>Oficial Mexicana NOM-0</w:t>
      </w:r>
      <w:r>
        <w:rPr>
          <w:rFonts w:ascii="Arial" w:hAnsi="Arial" w:cs="Arial"/>
        </w:rPr>
        <w:t>16</w:t>
      </w:r>
      <w:r w:rsidRPr="006D56B3">
        <w:rPr>
          <w:rFonts w:ascii="Arial" w:hAnsi="Arial" w:cs="Arial"/>
        </w:rPr>
        <w:t>-SSA</w:t>
      </w:r>
      <w:r>
        <w:rPr>
          <w:rFonts w:ascii="Arial" w:hAnsi="Arial" w:cs="Arial"/>
        </w:rPr>
        <w:t>3</w:t>
      </w:r>
      <w:r w:rsidRPr="006D56B3">
        <w:rPr>
          <w:rFonts w:ascii="Arial" w:hAnsi="Arial" w:cs="Arial"/>
        </w:rPr>
        <w:t>-</w:t>
      </w:r>
      <w:r>
        <w:rPr>
          <w:rFonts w:ascii="Arial" w:hAnsi="Arial" w:cs="Arial"/>
        </w:rPr>
        <w:t xml:space="preserve">2012, que establece </w:t>
      </w:r>
      <w:r>
        <w:rPr>
          <w:rFonts w:ascii="Arial" w:hAnsi="Arial" w:cs="Arial"/>
          <w:b/>
        </w:rPr>
        <w:t>las características mínimas de infraestructura y equipamiento de hospitales y consultorios de atención médica especializada</w:t>
      </w:r>
    </w:p>
    <w:p w:rsidR="00525C65" w:rsidRPr="006D56B3" w:rsidRDefault="00525C65" w:rsidP="001D5556">
      <w:pPr>
        <w:pStyle w:val="Prrafodelista"/>
        <w:numPr>
          <w:ilvl w:val="0"/>
          <w:numId w:val="7"/>
        </w:numPr>
        <w:spacing w:after="240" w:line="360" w:lineRule="auto"/>
        <w:ind w:left="714" w:hanging="357"/>
        <w:jc w:val="both"/>
        <w:rPr>
          <w:rFonts w:ascii="Arial" w:hAnsi="Arial" w:cs="Arial"/>
          <w:b/>
        </w:rPr>
      </w:pPr>
      <w:r>
        <w:rPr>
          <w:rFonts w:ascii="Arial" w:hAnsi="Arial" w:cs="Arial"/>
        </w:rPr>
        <w:t xml:space="preserve">NORMA </w:t>
      </w:r>
      <w:r w:rsidRPr="006D56B3">
        <w:rPr>
          <w:rFonts w:ascii="Arial" w:hAnsi="Arial" w:cs="Arial"/>
        </w:rPr>
        <w:t>Oficial Mexicana NOM-</w:t>
      </w:r>
      <w:r w:rsidR="001161B6">
        <w:rPr>
          <w:rFonts w:ascii="Arial" w:hAnsi="Arial" w:cs="Arial"/>
        </w:rPr>
        <w:t>004</w:t>
      </w:r>
      <w:r w:rsidRPr="006D56B3">
        <w:rPr>
          <w:rFonts w:ascii="Arial" w:hAnsi="Arial" w:cs="Arial"/>
        </w:rPr>
        <w:t>-SSA</w:t>
      </w:r>
      <w:r w:rsidR="001161B6">
        <w:rPr>
          <w:rFonts w:ascii="Arial" w:hAnsi="Arial" w:cs="Arial"/>
        </w:rPr>
        <w:t>3</w:t>
      </w:r>
      <w:r w:rsidRPr="006D56B3">
        <w:rPr>
          <w:rFonts w:ascii="Arial" w:hAnsi="Arial" w:cs="Arial"/>
        </w:rPr>
        <w:t>-</w:t>
      </w:r>
      <w:r w:rsidR="001161B6">
        <w:rPr>
          <w:rFonts w:ascii="Arial" w:hAnsi="Arial" w:cs="Arial"/>
        </w:rPr>
        <w:t>2012</w:t>
      </w:r>
      <w:r>
        <w:rPr>
          <w:rFonts w:ascii="Arial" w:hAnsi="Arial" w:cs="Arial"/>
        </w:rPr>
        <w:t xml:space="preserve">, </w:t>
      </w:r>
      <w:r>
        <w:rPr>
          <w:rFonts w:ascii="Arial" w:hAnsi="Arial" w:cs="Arial"/>
          <w:b/>
        </w:rPr>
        <w:t>del expediente clínico</w:t>
      </w:r>
    </w:p>
    <w:p w:rsidR="00525C65" w:rsidRDefault="00525C65" w:rsidP="001D5556">
      <w:pPr>
        <w:pStyle w:val="Prrafodelista"/>
        <w:numPr>
          <w:ilvl w:val="0"/>
          <w:numId w:val="7"/>
        </w:numPr>
        <w:spacing w:after="240" w:line="360" w:lineRule="auto"/>
        <w:ind w:left="714" w:hanging="357"/>
        <w:jc w:val="both"/>
        <w:rPr>
          <w:rFonts w:ascii="Arial" w:hAnsi="Arial" w:cs="Arial"/>
          <w:b/>
        </w:rPr>
      </w:pPr>
      <w:r w:rsidRPr="00525C65">
        <w:rPr>
          <w:rFonts w:ascii="Arial" w:hAnsi="Arial" w:cs="Arial"/>
        </w:rPr>
        <w:t xml:space="preserve">NORMA Oficial Mexicana NOM-001-SSA3-2012, Educación en salud. </w:t>
      </w:r>
      <w:r w:rsidRPr="00525C65">
        <w:rPr>
          <w:rFonts w:ascii="Arial" w:hAnsi="Arial" w:cs="Arial"/>
          <w:b/>
        </w:rPr>
        <w:t xml:space="preserve">Para la organización y funcionamiento de residencias médicas </w:t>
      </w:r>
    </w:p>
    <w:p w:rsidR="005075F2" w:rsidRPr="00FC25D3" w:rsidRDefault="005075F2" w:rsidP="001D5556">
      <w:pPr>
        <w:pStyle w:val="Prrafodelista"/>
        <w:numPr>
          <w:ilvl w:val="0"/>
          <w:numId w:val="7"/>
        </w:numPr>
        <w:spacing w:after="240" w:line="360" w:lineRule="auto"/>
        <w:ind w:left="714" w:hanging="357"/>
        <w:jc w:val="both"/>
        <w:rPr>
          <w:rFonts w:ascii="Arial" w:hAnsi="Arial" w:cs="Arial"/>
          <w:b/>
        </w:rPr>
      </w:pPr>
      <w:r w:rsidRPr="005075F2">
        <w:rPr>
          <w:rFonts w:ascii="Arial" w:hAnsi="Arial" w:cs="Arial"/>
        </w:rPr>
        <w:t xml:space="preserve">Norma Oficial Mexicana NOM-027-SSA3-2013, Regulación de los servicios de salud. Que establece los </w:t>
      </w:r>
      <w:r w:rsidRPr="005075F2">
        <w:rPr>
          <w:rFonts w:ascii="Arial" w:hAnsi="Arial" w:cs="Arial"/>
          <w:b/>
        </w:rPr>
        <w:t>criterios de funcionamiento y atención en los servicios de urgencias de los establecimientos para la atención médica</w:t>
      </w:r>
      <w:r w:rsidRPr="005075F2">
        <w:rPr>
          <w:rFonts w:ascii="Arial" w:hAnsi="Arial" w:cs="Arial"/>
        </w:rPr>
        <w:t>. Diario Oficial de la Federación, Ciudad de México, México, 04 de septiembre de 2013.</w:t>
      </w:r>
    </w:p>
    <w:p w:rsidR="00FC25D3" w:rsidRDefault="00FC25D3" w:rsidP="001D5556">
      <w:pPr>
        <w:pStyle w:val="Prrafodelista"/>
        <w:numPr>
          <w:ilvl w:val="0"/>
          <w:numId w:val="7"/>
        </w:numPr>
        <w:spacing w:after="240" w:line="360" w:lineRule="auto"/>
        <w:ind w:left="714" w:hanging="357"/>
        <w:jc w:val="both"/>
        <w:rPr>
          <w:rFonts w:ascii="Arial" w:hAnsi="Arial" w:cs="Arial"/>
        </w:rPr>
      </w:pPr>
      <w:r w:rsidRPr="00FC25D3">
        <w:rPr>
          <w:rFonts w:ascii="Arial" w:hAnsi="Arial" w:cs="Arial"/>
        </w:rPr>
        <w:t xml:space="preserve">NORMA Oficial Mexicana NOM-034-SSA2-2013, Para la </w:t>
      </w:r>
      <w:r w:rsidRPr="00FC25D3">
        <w:rPr>
          <w:rFonts w:ascii="Arial" w:hAnsi="Arial" w:cs="Arial"/>
          <w:b/>
        </w:rPr>
        <w:t>prevención y control de los defectos al nacimiento</w:t>
      </w:r>
      <w:r w:rsidRPr="00FC25D3">
        <w:rPr>
          <w:rFonts w:ascii="Arial" w:hAnsi="Arial" w:cs="Arial"/>
        </w:rPr>
        <w:t>.</w:t>
      </w:r>
    </w:p>
    <w:p w:rsidR="00FC25D3" w:rsidRPr="00FC25D3" w:rsidRDefault="00FC25D3" w:rsidP="001D5556">
      <w:pPr>
        <w:pStyle w:val="Prrafodelista"/>
        <w:numPr>
          <w:ilvl w:val="0"/>
          <w:numId w:val="7"/>
        </w:numPr>
        <w:spacing w:after="240" w:line="360" w:lineRule="auto"/>
        <w:ind w:left="714" w:hanging="357"/>
        <w:jc w:val="both"/>
        <w:rPr>
          <w:rFonts w:ascii="Arial" w:hAnsi="Arial" w:cs="Arial"/>
        </w:rPr>
      </w:pPr>
      <w:r w:rsidRPr="00FC25D3">
        <w:rPr>
          <w:rFonts w:ascii="Arial" w:hAnsi="Arial" w:cs="Arial"/>
        </w:rPr>
        <w:t xml:space="preserve">NORMA Oficial Mexicana NOM-031-SSA2-1999, Para la atención a la </w:t>
      </w:r>
      <w:r w:rsidRPr="00FC25D3">
        <w:rPr>
          <w:rFonts w:ascii="Arial" w:hAnsi="Arial" w:cs="Arial"/>
          <w:b/>
        </w:rPr>
        <w:t>salud del niño.</w:t>
      </w:r>
    </w:p>
    <w:p w:rsidR="00FC25D3" w:rsidRDefault="00FC25D3" w:rsidP="001D5556">
      <w:pPr>
        <w:pStyle w:val="Prrafodelista"/>
        <w:numPr>
          <w:ilvl w:val="0"/>
          <w:numId w:val="7"/>
        </w:numPr>
        <w:spacing w:after="240" w:line="360" w:lineRule="auto"/>
        <w:ind w:left="714" w:hanging="357"/>
        <w:jc w:val="both"/>
        <w:rPr>
          <w:rFonts w:ascii="Arial" w:hAnsi="Arial" w:cs="Arial"/>
        </w:rPr>
      </w:pPr>
      <w:r w:rsidRPr="00FC25D3">
        <w:rPr>
          <w:rFonts w:ascii="Arial" w:hAnsi="Arial" w:cs="Arial"/>
        </w:rPr>
        <w:lastRenderedPageBreak/>
        <w:t xml:space="preserve">NORMA Oficial Mexicana NOM-008-SSA2-1993, Control de la </w:t>
      </w:r>
      <w:r w:rsidRPr="00FC25D3">
        <w:rPr>
          <w:rFonts w:ascii="Arial" w:hAnsi="Arial" w:cs="Arial"/>
          <w:b/>
        </w:rPr>
        <w:t>nutrición, crecimiento y desarrollo del niño y del adolescente</w:t>
      </w:r>
      <w:r w:rsidRPr="00FC25D3">
        <w:rPr>
          <w:rFonts w:ascii="Arial" w:hAnsi="Arial" w:cs="Arial"/>
        </w:rPr>
        <w:t>. Criterios y procedimientos para la prestación del servicio.</w:t>
      </w:r>
    </w:p>
    <w:p w:rsidR="000551A4" w:rsidRPr="00AF2109" w:rsidRDefault="00DD00EF" w:rsidP="00AF2109">
      <w:pPr>
        <w:spacing w:after="240" w:line="360" w:lineRule="auto"/>
        <w:jc w:val="both"/>
        <w:rPr>
          <w:rFonts w:ascii="Arial" w:hAnsi="Arial" w:cs="Arial"/>
          <w:b/>
        </w:rPr>
      </w:pPr>
      <w:r>
        <w:rPr>
          <w:rFonts w:ascii="Arial" w:hAnsi="Arial" w:cs="Arial"/>
          <w:b/>
        </w:rPr>
        <w:t>I</w:t>
      </w:r>
      <w:r w:rsidR="00AF2109">
        <w:rPr>
          <w:rFonts w:ascii="Arial" w:hAnsi="Arial" w:cs="Arial"/>
          <w:b/>
        </w:rPr>
        <w:t xml:space="preserve">V. </w:t>
      </w:r>
      <w:r w:rsidRPr="00AF2109">
        <w:rPr>
          <w:rFonts w:ascii="Arial" w:hAnsi="Arial" w:cs="Arial"/>
          <w:b/>
        </w:rPr>
        <w:t xml:space="preserve">DEMANDA EDUCATIVA </w:t>
      </w:r>
      <w:r>
        <w:rPr>
          <w:rFonts w:ascii="Arial" w:hAnsi="Arial" w:cs="Arial"/>
          <w:b/>
        </w:rPr>
        <w:t>E</w:t>
      </w:r>
      <w:r w:rsidRPr="00AF2109">
        <w:rPr>
          <w:rFonts w:ascii="Arial" w:hAnsi="Arial" w:cs="Arial"/>
          <w:b/>
        </w:rPr>
        <w:t xml:space="preserve">N </w:t>
      </w:r>
      <w:r w:rsidR="00F47E41">
        <w:rPr>
          <w:rFonts w:ascii="Arial" w:hAnsi="Arial" w:cs="Arial"/>
          <w:b/>
        </w:rPr>
        <w:t>PEDIATRÍA</w:t>
      </w:r>
    </w:p>
    <w:p w:rsidR="00E94E74" w:rsidRDefault="00E94E74" w:rsidP="001D5556">
      <w:pPr>
        <w:spacing w:after="240"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66"/>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67"/>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68"/>
      </w:r>
      <w:r>
        <w:rPr>
          <w:rFonts w:ascii="Arial" w:hAnsi="Arial" w:cs="Arial"/>
          <w:lang w:eastAsia="es-MX"/>
        </w:rPr>
        <w:t xml:space="preserve">. </w:t>
      </w:r>
    </w:p>
    <w:p w:rsidR="00E94E74" w:rsidRDefault="00E94E74" w:rsidP="001D5556">
      <w:pPr>
        <w:spacing w:after="240"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69"/>
      </w:r>
      <w:r>
        <w:rPr>
          <w:rFonts w:ascii="Arial" w:hAnsi="Arial" w:cs="Arial"/>
          <w:lang w:eastAsia="es-MX"/>
        </w:rPr>
        <w:t xml:space="preserve">. Asimismo, el modelo propone que las percepciones y necesidades son mediadas por la facultad, las </w:t>
      </w:r>
      <w:r>
        <w:rPr>
          <w:rFonts w:ascii="Arial" w:hAnsi="Arial" w:cs="Arial"/>
          <w:lang w:eastAsia="es-MX"/>
        </w:rPr>
        <w:lastRenderedPageBreak/>
        <w:t>características y valores del estudiante</w:t>
      </w:r>
      <w:r>
        <w:rPr>
          <w:rStyle w:val="Refdenotaalpie"/>
          <w:rFonts w:ascii="Arial" w:hAnsi="Arial" w:cs="Arial"/>
          <w:lang w:eastAsia="es-MX"/>
        </w:rPr>
        <w:footnoteReference w:id="70"/>
      </w:r>
      <w:r>
        <w:rPr>
          <w:rFonts w:ascii="Arial" w:hAnsi="Arial" w:cs="Arial"/>
          <w:lang w:eastAsia="es-MX"/>
        </w:rPr>
        <w:t xml:space="preserve">. Este modelo es retomado por Querido </w:t>
      </w:r>
      <w:r w:rsidRPr="000D6ACB">
        <w:rPr>
          <w:rFonts w:ascii="Arial" w:hAnsi="Arial" w:cs="Arial"/>
          <w:i/>
          <w:lang w:eastAsia="es-MX"/>
        </w:rPr>
        <w:t>et al</w:t>
      </w:r>
      <w:r>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rsidR="00E94E74" w:rsidRPr="002C0B41" w:rsidRDefault="00E94E74" w:rsidP="00E94E74">
      <w:pPr>
        <w:spacing w:line="360" w:lineRule="auto"/>
        <w:jc w:val="center"/>
        <w:rPr>
          <w:rFonts w:ascii="Arial" w:hAnsi="Arial" w:cs="Arial"/>
          <w:b/>
          <w:lang w:eastAsia="es-MX"/>
        </w:rPr>
      </w:pPr>
      <w:r w:rsidRPr="002C0B41">
        <w:rPr>
          <w:rFonts w:ascii="Arial" w:hAnsi="Arial" w:cs="Arial"/>
          <w:b/>
          <w:lang w:eastAsia="es-MX"/>
        </w:rPr>
        <w:t xml:space="preserve">Figura 1. Modelo de Bland-Meurer (modificaciones de Querido </w:t>
      </w:r>
      <w:r w:rsidRPr="002C0B41">
        <w:rPr>
          <w:rFonts w:ascii="Arial" w:hAnsi="Arial" w:cs="Arial"/>
          <w:b/>
          <w:i/>
          <w:lang w:eastAsia="es-MX"/>
        </w:rPr>
        <w:t>et al</w:t>
      </w:r>
      <w:r w:rsidRPr="002C0B41">
        <w:rPr>
          <w:rFonts w:ascii="Arial" w:hAnsi="Arial" w:cs="Arial"/>
          <w:b/>
          <w:lang w:eastAsia="es-MX"/>
        </w:rPr>
        <w:t>) sobe los factores relacionados con la elección de una especialidad.</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14C4B9BE" wp14:editId="5A16731B">
            <wp:extent cx="4457700" cy="5105400"/>
            <wp:effectExtent l="19050" t="19050" r="19050" b="190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700" cy="5105400"/>
                    </a:xfrm>
                    <a:prstGeom prst="rect">
                      <a:avLst/>
                    </a:prstGeom>
                    <a:ln>
                      <a:solidFill>
                        <a:schemeClr val="tx1"/>
                      </a:solidFill>
                    </a:ln>
                  </pic:spPr>
                </pic:pic>
              </a:graphicData>
            </a:graphic>
          </wp:inline>
        </w:drawing>
      </w:r>
    </w:p>
    <w:p w:rsidR="00E94E74" w:rsidRDefault="00C3703B" w:rsidP="00C3703B">
      <w:pPr>
        <w:spacing w:after="0" w:line="240" w:lineRule="auto"/>
        <w:ind w:left="2832"/>
        <w:rPr>
          <w:rFonts w:ascii="Arial" w:hAnsi="Arial" w:cs="Arial"/>
          <w:lang w:eastAsia="es-MX"/>
        </w:rPr>
      </w:pPr>
      <w:r>
        <w:rPr>
          <w:rFonts w:ascii="Arial" w:hAnsi="Arial" w:cs="Arial"/>
          <w:b/>
          <w:sz w:val="18"/>
          <w:lang w:eastAsia="es-MX"/>
        </w:rPr>
        <w:t xml:space="preserve">    </w:t>
      </w:r>
      <w:r w:rsidR="00E94E74" w:rsidRPr="002C0B41">
        <w:rPr>
          <w:rFonts w:ascii="Arial" w:hAnsi="Arial" w:cs="Arial"/>
          <w:b/>
          <w:sz w:val="18"/>
          <w:lang w:eastAsia="es-MX"/>
        </w:rPr>
        <w:t>Fuente:</w:t>
      </w:r>
      <w:r w:rsidR="00E94E74">
        <w:rPr>
          <w:rFonts w:ascii="Arial" w:hAnsi="Arial" w:cs="Arial"/>
          <w:sz w:val="18"/>
          <w:lang w:eastAsia="es-MX"/>
        </w:rPr>
        <w:t xml:space="preserve"> Gutiérrez </w:t>
      </w:r>
      <w:r w:rsidR="00E94E74" w:rsidRPr="00DE354C">
        <w:rPr>
          <w:rFonts w:ascii="Arial" w:hAnsi="Arial" w:cs="Arial"/>
          <w:i/>
          <w:sz w:val="18"/>
          <w:lang w:eastAsia="es-MX"/>
        </w:rPr>
        <w:t>et al</w:t>
      </w:r>
      <w:r w:rsidR="00E94E74" w:rsidRPr="002C0B41">
        <w:rPr>
          <w:rFonts w:ascii="Arial" w:hAnsi="Arial" w:cs="Arial"/>
          <w:sz w:val="18"/>
          <w:lang w:eastAsia="es-MX"/>
        </w:rPr>
        <w:t xml:space="preserve"> (2017)</w:t>
      </w:r>
      <w:r w:rsidR="00E94E74">
        <w:rPr>
          <w:rFonts w:ascii="Arial" w:hAnsi="Arial" w:cs="Arial"/>
          <w:sz w:val="18"/>
          <w:lang w:eastAsia="es-MX"/>
        </w:rPr>
        <w:t>, p. 210</w:t>
      </w:r>
      <w:r w:rsidR="00E94E74" w:rsidRPr="002C0B41">
        <w:rPr>
          <w:rFonts w:ascii="Arial" w:hAnsi="Arial" w:cs="Arial"/>
          <w:sz w:val="18"/>
          <w:lang w:eastAsia="es-MX"/>
        </w:rPr>
        <w:t>.</w:t>
      </w:r>
    </w:p>
    <w:p w:rsidR="00E94E74" w:rsidRDefault="00E94E74" w:rsidP="00E94E74">
      <w:pPr>
        <w:spacing w:line="360" w:lineRule="auto"/>
        <w:jc w:val="both"/>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lastRenderedPageBreak/>
        <w:t xml:space="preserve">En específico, respecto a las características de la escuela de medicina del modelo de Bland-Meurer (reformulado por Querido </w:t>
      </w:r>
      <w:r w:rsidRPr="00A467B9">
        <w:rPr>
          <w:rFonts w:ascii="Arial" w:hAnsi="Arial" w:cs="Arial"/>
          <w:i/>
          <w:lang w:eastAsia="es-MX"/>
        </w:rPr>
        <w:t>et al</w:t>
      </w:r>
      <w:r>
        <w:rPr>
          <w:rFonts w:ascii="Arial" w:hAnsi="Arial" w:cs="Arial"/>
          <w:lang w:eastAsia="es-MX"/>
        </w:rPr>
        <w:t xml:space="preserve">), Gutiérrez </w:t>
      </w:r>
      <w:r w:rsidRPr="00DE354C">
        <w:rPr>
          <w:rFonts w:ascii="Arial" w:hAnsi="Arial" w:cs="Arial"/>
          <w:i/>
          <w:lang w:eastAsia="es-MX"/>
        </w:rPr>
        <w:t>et al</w:t>
      </w:r>
      <w:r>
        <w:rPr>
          <w:rFonts w:ascii="Arial" w:hAnsi="Arial" w:cs="Arial"/>
          <w:lang w:eastAsia="es-MX"/>
        </w:rPr>
        <w:t xml:space="preserve"> mencionan:</w:t>
      </w:r>
    </w:p>
    <w:p w:rsidR="00E94E74" w:rsidRPr="00A467B9" w:rsidRDefault="00E94E74" w:rsidP="004A55AA">
      <w:pPr>
        <w:spacing w:after="240" w:line="360" w:lineRule="auto"/>
        <w:ind w:left="709"/>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E94E74" w:rsidRDefault="00E94E74" w:rsidP="004A55AA">
      <w:pPr>
        <w:spacing w:after="240"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E94E74" w:rsidRPr="006D6345" w:rsidRDefault="00E94E74" w:rsidP="004A55AA">
      <w:pPr>
        <w:spacing w:after="240"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E94E74" w:rsidRDefault="00E94E74" w:rsidP="004A55AA">
      <w:pPr>
        <w:spacing w:after="240"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sidR="004A2F38">
        <w:rPr>
          <w:rFonts w:ascii="Arial" w:hAnsi="Arial" w:cs="Arial"/>
          <w:lang w:eastAsia="es-MX"/>
        </w:rPr>
        <w:t>Pediatría</w:t>
      </w:r>
      <w:r w:rsidRPr="001C312A">
        <w:rPr>
          <w:rFonts w:ascii="Arial" w:hAnsi="Arial" w:cs="Arial"/>
          <w:lang w:eastAsia="es-MX"/>
        </w:rPr>
        <w:t xml:space="preserve"> que oferta la Universidad la Salle</w:t>
      </w:r>
      <w:r>
        <w:rPr>
          <w:rFonts w:ascii="Arial" w:hAnsi="Arial" w:cs="Arial"/>
          <w:lang w:eastAsia="es-MX"/>
        </w:rPr>
        <w:t xml:space="preserv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1A4EE8">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4A55AA" w:rsidRDefault="004A55AA" w:rsidP="004A55AA">
      <w:pPr>
        <w:spacing w:after="240" w:line="360" w:lineRule="auto"/>
        <w:jc w:val="both"/>
        <w:rPr>
          <w:rFonts w:ascii="Arial" w:hAnsi="Arial" w:cs="Arial"/>
          <w:lang w:eastAsia="es-MX"/>
        </w:rPr>
      </w:pPr>
    </w:p>
    <w:p w:rsidR="00E94E74" w:rsidRPr="004A29D9" w:rsidRDefault="00E94E74" w:rsidP="00E94E74">
      <w:pPr>
        <w:spacing w:line="360" w:lineRule="auto"/>
        <w:jc w:val="center"/>
        <w:rPr>
          <w:rFonts w:ascii="Arial" w:hAnsi="Arial" w:cs="Arial"/>
          <w:b/>
          <w:lang w:eastAsia="es-MX"/>
        </w:rPr>
      </w:pPr>
      <w:r w:rsidRPr="004A29D9">
        <w:rPr>
          <w:rFonts w:ascii="Arial" w:hAnsi="Arial" w:cs="Arial"/>
          <w:b/>
          <w:lang w:eastAsia="es-MX"/>
        </w:rPr>
        <w:lastRenderedPageBreak/>
        <w:t xml:space="preserve">Gráfica </w:t>
      </w:r>
      <w:r w:rsidR="001A4EE8">
        <w:rPr>
          <w:rFonts w:ascii="Arial" w:hAnsi="Arial" w:cs="Arial"/>
          <w:b/>
          <w:lang w:eastAsia="es-MX"/>
        </w:rPr>
        <w:t>7</w:t>
      </w:r>
      <w:r w:rsidRPr="004A29D9">
        <w:rPr>
          <w:rFonts w:ascii="Arial" w:hAnsi="Arial" w:cs="Arial"/>
          <w:b/>
          <w:lang w:eastAsia="es-MX"/>
        </w:rPr>
        <w:t>. Tasa de médicos graduados en diversos países de la OCDE, 2016 (o años más reciente).</w:t>
      </w:r>
    </w:p>
    <w:p w:rsidR="00E94E74" w:rsidRDefault="00E94E74" w:rsidP="00B81B5F">
      <w:pPr>
        <w:spacing w:after="0" w:line="240" w:lineRule="auto"/>
        <w:jc w:val="center"/>
        <w:rPr>
          <w:rFonts w:ascii="Arial" w:hAnsi="Arial" w:cs="Arial"/>
          <w:lang w:eastAsia="es-MX"/>
        </w:rPr>
      </w:pPr>
      <w:r>
        <w:rPr>
          <w:noProof/>
          <w:lang w:eastAsia="es-MX"/>
        </w:rPr>
        <w:drawing>
          <wp:inline distT="0" distB="0" distL="0" distR="0" wp14:anchorId="2A4ABEC8" wp14:editId="1085CEAF">
            <wp:extent cx="5172076" cy="2995614"/>
            <wp:effectExtent l="0" t="0" r="9525" b="14605"/>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94E74" w:rsidRPr="00075890" w:rsidRDefault="00E94E74" w:rsidP="00B81B5F">
      <w:pPr>
        <w:spacing w:after="0" w:line="24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E94E74" w:rsidRDefault="00E94E74" w:rsidP="00AF2109">
      <w:pPr>
        <w:spacing w:after="240" w:line="360" w:lineRule="auto"/>
        <w:jc w:val="center"/>
        <w:rPr>
          <w:rFonts w:ascii="Arial" w:hAnsi="Arial" w:cs="Arial"/>
          <w:lang w:eastAsia="es-MX"/>
        </w:rPr>
      </w:pPr>
    </w:p>
    <w:p w:rsidR="00E94E74" w:rsidRDefault="00E94E74" w:rsidP="004A55AA">
      <w:pPr>
        <w:spacing w:after="240"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71"/>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72"/>
      </w:r>
      <w:r>
        <w:rPr>
          <w:rFonts w:ascii="Arial" w:hAnsi="Arial" w:cs="Arial"/>
          <w:lang w:eastAsia="es-MX"/>
        </w:rPr>
        <w:t xml:space="preserve">. Entonces, la </w:t>
      </w:r>
      <w:r w:rsidRPr="0045180E">
        <w:rPr>
          <w:rFonts w:ascii="Arial" w:hAnsi="Arial" w:cs="Arial"/>
          <w:lang w:eastAsia="es-MX"/>
        </w:rPr>
        <w:t>demanda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1A4EE8">
        <w:rPr>
          <w:rFonts w:ascii="Arial" w:hAnsi="Arial" w:cs="Arial"/>
          <w:lang w:eastAsia="es-MX"/>
        </w:rPr>
        <w:t>8</w:t>
      </w:r>
      <w:r>
        <w:rPr>
          <w:rFonts w:ascii="Arial" w:hAnsi="Arial" w:cs="Arial"/>
          <w:lang w:eastAsia="es-MX"/>
        </w:rPr>
        <w:t xml:space="preserve"> muestra la evolución de los sustentantes en el período 2010-2018; en estos años se muestra una clara tendencia </w:t>
      </w:r>
      <w:r w:rsidR="001A4EE8">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w:t>
      </w:r>
      <w:r>
        <w:rPr>
          <w:rFonts w:ascii="Arial" w:hAnsi="Arial" w:cs="Arial"/>
          <w:lang w:eastAsia="es-MX"/>
        </w:rPr>
        <w:lastRenderedPageBreak/>
        <w:t xml:space="preserve">especialidades médicas (38.9-44.2 para un IP de 95%). Para 2024, el pronóstico indica que de seguir la tendencia </w:t>
      </w:r>
      <w:r w:rsidR="004A55AA">
        <w:rPr>
          <w:rFonts w:ascii="Arial" w:hAnsi="Arial" w:cs="Arial"/>
          <w:lang w:eastAsia="es-MX"/>
        </w:rPr>
        <w:t>al alza</w:t>
      </w:r>
      <w:r>
        <w:rPr>
          <w:rFonts w:ascii="Arial" w:hAnsi="Arial" w:cs="Arial"/>
          <w:lang w:eastAsia="es-MX"/>
        </w:rPr>
        <w:t>, la demanda de médicos por las especialidades puede ser 53.4 sustentantes (50.7-56.1 IP 95%).</w:t>
      </w:r>
    </w:p>
    <w:p w:rsidR="00E94E74" w:rsidRPr="00914CC9" w:rsidRDefault="00E94E74" w:rsidP="00E94E74">
      <w:pPr>
        <w:spacing w:line="360" w:lineRule="auto"/>
        <w:jc w:val="center"/>
        <w:rPr>
          <w:rFonts w:ascii="Arial" w:hAnsi="Arial" w:cs="Arial"/>
          <w:b/>
          <w:lang w:eastAsia="es-MX"/>
        </w:rPr>
      </w:pPr>
      <w:r w:rsidRPr="00914CC9">
        <w:rPr>
          <w:rFonts w:ascii="Arial" w:hAnsi="Arial" w:cs="Arial"/>
          <w:b/>
          <w:lang w:eastAsia="es-MX"/>
        </w:rPr>
        <w:t>Gráfica</w:t>
      </w:r>
      <w:r w:rsidR="00FF78A1">
        <w:rPr>
          <w:rFonts w:ascii="Arial" w:hAnsi="Arial" w:cs="Arial"/>
          <w:b/>
          <w:lang w:eastAsia="es-MX"/>
        </w:rPr>
        <w:t xml:space="preserve"> 8</w:t>
      </w:r>
      <w:r w:rsidRPr="00914CC9">
        <w:rPr>
          <w:rFonts w:ascii="Arial" w:hAnsi="Arial" w:cs="Arial"/>
          <w:b/>
          <w:lang w:eastAsia="es-MX"/>
        </w:rPr>
        <w:t>. Evolución y pronósticos de sustentantes del ENARM, 2010-2014.</w:t>
      </w:r>
    </w:p>
    <w:p w:rsidR="00E94E74" w:rsidRDefault="00E94E74" w:rsidP="00E94E74">
      <w:pPr>
        <w:spacing w:after="0" w:line="360" w:lineRule="auto"/>
        <w:jc w:val="center"/>
        <w:rPr>
          <w:rFonts w:ascii="Arial" w:hAnsi="Arial" w:cs="Arial"/>
          <w:lang w:eastAsia="es-MX"/>
        </w:rPr>
      </w:pPr>
      <w:r>
        <w:rPr>
          <w:noProof/>
          <w:lang w:eastAsia="es-MX"/>
        </w:rPr>
        <w:drawing>
          <wp:inline distT="0" distB="0" distL="0" distR="0" wp14:anchorId="7856C2BF" wp14:editId="337A1BEA">
            <wp:extent cx="5005388" cy="2852738"/>
            <wp:effectExtent l="0" t="0" r="5080" b="508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94E74" w:rsidRPr="000A3DCE" w:rsidRDefault="00E94E74" w:rsidP="00E94E74">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E94E74" w:rsidRDefault="00E94E74" w:rsidP="00E94E74">
      <w:pPr>
        <w:spacing w:line="360" w:lineRule="auto"/>
        <w:jc w:val="center"/>
        <w:rPr>
          <w:rFonts w:ascii="Arial" w:hAnsi="Arial" w:cs="Arial"/>
          <w:lang w:eastAsia="es-MX"/>
        </w:rPr>
      </w:pPr>
    </w:p>
    <w:p w:rsidR="004A2F38" w:rsidRDefault="004A2F38" w:rsidP="001D5556">
      <w:pPr>
        <w:spacing w:after="240" w:line="360" w:lineRule="auto"/>
        <w:jc w:val="both"/>
        <w:rPr>
          <w:rFonts w:ascii="Arial" w:hAnsi="Arial" w:cs="Arial"/>
          <w:lang w:eastAsia="es-MX"/>
        </w:rPr>
      </w:pPr>
      <w:r>
        <w:rPr>
          <w:rFonts w:ascii="Arial" w:hAnsi="Arial" w:cs="Arial"/>
          <w:lang w:eastAsia="es-MX"/>
        </w:rPr>
        <w:t xml:space="preserve">Específicamente para la especialidad de Pediatría, en 2018, se ofertaron 852 lugares, es decir, 9.7% de las plazas ofertadas por el ENARM corresponden a dicha especialidad. Durante el período 2012-2018 (Gráfica </w:t>
      </w:r>
      <w:r w:rsidR="00FF78A1">
        <w:rPr>
          <w:rFonts w:ascii="Arial" w:hAnsi="Arial" w:cs="Arial"/>
          <w:lang w:eastAsia="es-MX"/>
        </w:rPr>
        <w:t>9</w:t>
      </w:r>
      <w:r>
        <w:rPr>
          <w:rFonts w:ascii="Arial" w:hAnsi="Arial" w:cs="Arial"/>
          <w:lang w:eastAsia="es-MX"/>
        </w:rPr>
        <w:t>) se observa un comportamiento estable de los lugares ofertados de la especialidad, ya que el promedio anual de la disponibilidad es de 825 plazas ofertadas. Además, desde 2015, tras un descenso de los lugares disponibles, se observa un ligero incremento en estos, de tal forma que en los últimos tres años se reporta un incremento promedio de 1.6% anual. Adicionalmente, este análisis se asume que los lugares ofertados para la especialidad se ocupan al 100%, ya que el número de sustentantes es 4.5 veces mayor a lo ofertado; por ejemplo, Fajardo menciona que sólo 1 de 6 aspirantes tendrá un lugar para la especialidad de Pediatría</w:t>
      </w:r>
      <w:r>
        <w:rPr>
          <w:rStyle w:val="Refdenotaalpie"/>
          <w:rFonts w:ascii="Arial" w:hAnsi="Arial" w:cs="Arial"/>
          <w:lang w:eastAsia="es-MX"/>
        </w:rPr>
        <w:footnoteReference w:id="73"/>
      </w:r>
      <w:r>
        <w:rPr>
          <w:rFonts w:ascii="Arial" w:hAnsi="Arial" w:cs="Arial"/>
          <w:lang w:eastAsia="es-MX"/>
        </w:rPr>
        <w:t xml:space="preserve">. Por otro lado, si la demanda por la especialidad en Pediatría fuera análoga a la proporción que ésta representa </w:t>
      </w:r>
      <w:r>
        <w:rPr>
          <w:rFonts w:ascii="Arial" w:hAnsi="Arial" w:cs="Arial"/>
          <w:lang w:eastAsia="es-MX"/>
        </w:rPr>
        <w:lastRenderedPageBreak/>
        <w:t>en el total de lugares ofertados, entonces existirían alrededor de 3,884 médicos postulando a la especialidad.</w:t>
      </w:r>
    </w:p>
    <w:p w:rsidR="004A2F38" w:rsidRPr="000E4FBB" w:rsidRDefault="004A2F38" w:rsidP="004A2F38">
      <w:pPr>
        <w:spacing w:line="360" w:lineRule="auto"/>
        <w:jc w:val="center"/>
        <w:rPr>
          <w:rFonts w:ascii="Arial" w:hAnsi="Arial" w:cs="Arial"/>
          <w:b/>
          <w:lang w:eastAsia="es-MX"/>
        </w:rPr>
      </w:pPr>
      <w:r w:rsidRPr="000E4FBB">
        <w:rPr>
          <w:rFonts w:ascii="Arial" w:hAnsi="Arial" w:cs="Arial"/>
          <w:b/>
          <w:lang w:eastAsia="es-MX"/>
        </w:rPr>
        <w:t>Gráfica</w:t>
      </w:r>
      <w:r>
        <w:rPr>
          <w:rFonts w:ascii="Arial" w:hAnsi="Arial" w:cs="Arial"/>
          <w:b/>
          <w:lang w:eastAsia="es-MX"/>
        </w:rPr>
        <w:t xml:space="preserve"> </w:t>
      </w:r>
      <w:r w:rsidR="00FF78A1">
        <w:rPr>
          <w:rFonts w:ascii="Arial" w:hAnsi="Arial" w:cs="Arial"/>
          <w:b/>
          <w:lang w:eastAsia="es-MX"/>
        </w:rPr>
        <w:t>9</w:t>
      </w:r>
      <w:r w:rsidRPr="000E4FBB">
        <w:rPr>
          <w:rFonts w:ascii="Arial" w:hAnsi="Arial" w:cs="Arial"/>
          <w:b/>
          <w:lang w:eastAsia="es-MX"/>
        </w:rPr>
        <w:t xml:space="preserve">. Lugares ofertados en la especialidad de </w:t>
      </w:r>
      <w:r>
        <w:rPr>
          <w:rFonts w:ascii="Arial" w:hAnsi="Arial" w:cs="Arial"/>
          <w:b/>
          <w:lang w:eastAsia="es-MX"/>
        </w:rPr>
        <w:t>Pediatría</w:t>
      </w:r>
      <w:r w:rsidRPr="000E4FBB">
        <w:rPr>
          <w:rFonts w:ascii="Arial" w:hAnsi="Arial" w:cs="Arial"/>
          <w:b/>
          <w:lang w:eastAsia="es-MX"/>
        </w:rPr>
        <w:t xml:space="preserve"> en las convocatorias del ENARM, 2012-2018.</w:t>
      </w:r>
    </w:p>
    <w:p w:rsidR="004A2F38" w:rsidRDefault="004A2F38" w:rsidP="00FF78A1">
      <w:pPr>
        <w:spacing w:after="0" w:line="240" w:lineRule="auto"/>
        <w:jc w:val="center"/>
        <w:rPr>
          <w:rFonts w:ascii="Arial" w:hAnsi="Arial" w:cs="Arial"/>
          <w:lang w:eastAsia="es-MX"/>
        </w:rPr>
      </w:pPr>
      <w:r>
        <w:rPr>
          <w:noProof/>
          <w:lang w:eastAsia="es-MX"/>
        </w:rPr>
        <w:drawing>
          <wp:inline distT="0" distB="0" distL="0" distR="0" wp14:anchorId="285C9A7A" wp14:editId="039EFB4A">
            <wp:extent cx="4572000" cy="2743200"/>
            <wp:effectExtent l="0" t="0" r="0" b="0"/>
            <wp:docPr id="37" name="Grá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A2F38" w:rsidRDefault="004A2F38" w:rsidP="00FF78A1">
      <w:pPr>
        <w:spacing w:after="0" w:line="240" w:lineRule="auto"/>
        <w:jc w:val="center"/>
        <w:rPr>
          <w:rFonts w:ascii="Arial" w:hAnsi="Arial" w:cs="Arial"/>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r>
        <w:rPr>
          <w:rFonts w:ascii="Arial" w:hAnsi="Arial" w:cs="Arial"/>
          <w:sz w:val="18"/>
          <w:lang w:eastAsia="es-MX"/>
        </w:rPr>
        <w:t>CIFRHS (2012-2018).</w:t>
      </w:r>
    </w:p>
    <w:p w:rsidR="00FF78A1" w:rsidRDefault="00FF78A1" w:rsidP="001D5556">
      <w:pPr>
        <w:spacing w:after="240" w:line="360" w:lineRule="auto"/>
        <w:jc w:val="both"/>
        <w:rPr>
          <w:rFonts w:ascii="Arial" w:hAnsi="Arial" w:cs="Arial"/>
          <w:lang w:eastAsia="es-MX"/>
        </w:rPr>
      </w:pPr>
    </w:p>
    <w:p w:rsidR="00E07E4C" w:rsidRDefault="00E94E74" w:rsidP="001D5556">
      <w:pPr>
        <w:spacing w:after="240"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74"/>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75"/>
      </w:r>
      <w:r>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rsidR="00F40F37" w:rsidRDefault="00F40F37" w:rsidP="001D5556">
      <w:pPr>
        <w:spacing w:after="240" w:line="360" w:lineRule="auto"/>
        <w:jc w:val="both"/>
        <w:rPr>
          <w:rFonts w:ascii="Arial" w:eastAsiaTheme="majorEastAsia" w:hAnsi="Arial" w:cs="Arial"/>
          <w:b/>
          <w:lang w:bidi="en-US"/>
        </w:rPr>
      </w:pPr>
    </w:p>
    <w:p w:rsidR="00E844FF" w:rsidRPr="00E77384" w:rsidRDefault="00E844FF" w:rsidP="002D6D20">
      <w:pPr>
        <w:spacing w:after="240" w:line="360" w:lineRule="auto"/>
        <w:ind w:right="-79"/>
        <w:jc w:val="both"/>
        <w:rPr>
          <w:rFonts w:ascii="Arial" w:eastAsiaTheme="majorEastAsia" w:hAnsi="Arial" w:cs="Arial"/>
          <w:b/>
          <w:lang w:bidi="en-US"/>
        </w:rPr>
      </w:pPr>
      <w:r>
        <w:rPr>
          <w:rFonts w:ascii="Arial" w:eastAsiaTheme="majorEastAsia" w:hAnsi="Arial" w:cs="Arial"/>
          <w:b/>
          <w:lang w:bidi="en-US"/>
        </w:rPr>
        <w:lastRenderedPageBreak/>
        <w:t>V</w:t>
      </w:r>
      <w:r w:rsidRPr="00E77384">
        <w:rPr>
          <w:rFonts w:ascii="Arial" w:eastAsiaTheme="majorEastAsia" w:hAnsi="Arial" w:cs="Arial"/>
          <w:b/>
          <w:lang w:bidi="en-US"/>
        </w:rPr>
        <w:t xml:space="preserve">. MERCADO LABORAL </w:t>
      </w:r>
    </w:p>
    <w:p w:rsidR="00E844FF" w:rsidRDefault="00E844FF" w:rsidP="001D5556">
      <w:pPr>
        <w:spacing w:after="240"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76"/>
      </w:r>
      <w:r>
        <w:rPr>
          <w:rFonts w:ascii="Arial" w:hAnsi="Arial" w:cs="Arial"/>
        </w:rPr>
        <w:t xml:space="preserve">, en cambio, en el sector </w:t>
      </w:r>
      <w:r w:rsidR="004B7734">
        <w:rPr>
          <w:rFonts w:ascii="Arial" w:hAnsi="Arial" w:cs="Arial"/>
        </w:rPr>
        <w:t>privado</w:t>
      </w:r>
      <w:r>
        <w:rPr>
          <w:rFonts w:ascii="Arial" w:hAnsi="Arial" w:cs="Arial"/>
        </w:rPr>
        <w:t xml:space="preserve"> se estima una proporción de 48%</w:t>
      </w:r>
      <w:r>
        <w:rPr>
          <w:rStyle w:val="Refdenotaalpie"/>
          <w:rFonts w:ascii="Arial" w:hAnsi="Arial" w:cs="Arial"/>
        </w:rPr>
        <w:footnoteReference w:id="77"/>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78"/>
      </w:r>
      <w:r>
        <w:rPr>
          <w:rFonts w:ascii="Arial" w:hAnsi="Arial" w:cs="Arial"/>
        </w:rPr>
        <w:t xml:space="preserve">. </w:t>
      </w:r>
    </w:p>
    <w:p w:rsidR="00E844FF" w:rsidRDefault="00E844FF" w:rsidP="001D5556">
      <w:pPr>
        <w:spacing w:after="240" w:line="360" w:lineRule="auto"/>
        <w:jc w:val="both"/>
        <w:rPr>
          <w:rFonts w:ascii="Arial" w:hAnsi="Arial" w:cs="Arial"/>
        </w:rPr>
      </w:pPr>
      <w:r>
        <w:rPr>
          <w:rFonts w:ascii="Arial" w:hAnsi="Arial" w:cs="Arial"/>
        </w:rPr>
        <w:t xml:space="preserve">Respecto a la distribución geográfica de los especialistas (Cuadro </w:t>
      </w:r>
      <w:r w:rsidR="00C86F7D">
        <w:rPr>
          <w:rFonts w:ascii="Arial" w:hAnsi="Arial" w:cs="Arial"/>
        </w:rPr>
        <w:t>12</w:t>
      </w:r>
      <w:r>
        <w:rPr>
          <w:rFonts w:ascii="Arial" w:hAnsi="Arial" w:cs="Arial"/>
        </w:rPr>
        <w:t>), tan sólo la Ciudad de México aglomera 30.1% de los especialistas a nivel nacional, le siguen Jalisco, el Estado de México y Nuevo León con 9.4%, 8.1% y 6.6%, respectivamente</w:t>
      </w:r>
      <w:r>
        <w:rPr>
          <w:rStyle w:val="Refdenotaalpie"/>
          <w:rFonts w:ascii="Arial" w:hAnsi="Arial" w:cs="Arial"/>
        </w:rPr>
        <w:footnoteReference w:id="79"/>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80"/>
      </w:r>
      <w:r>
        <w:rPr>
          <w:rFonts w:ascii="Arial" w:hAnsi="Arial" w:cs="Arial"/>
        </w:rPr>
        <w:t>.</w:t>
      </w:r>
    </w:p>
    <w:p w:rsidR="00F40F37" w:rsidRDefault="00F40F37" w:rsidP="002D6D20">
      <w:pPr>
        <w:spacing w:after="240" w:line="240" w:lineRule="auto"/>
        <w:jc w:val="center"/>
        <w:rPr>
          <w:rFonts w:ascii="Arial" w:hAnsi="Arial" w:cs="Arial"/>
          <w:b/>
        </w:rPr>
      </w:pPr>
    </w:p>
    <w:p w:rsidR="00F40F37" w:rsidRDefault="00F40F37" w:rsidP="002D6D20">
      <w:pPr>
        <w:spacing w:after="240" w:line="240" w:lineRule="auto"/>
        <w:jc w:val="center"/>
        <w:rPr>
          <w:rFonts w:ascii="Arial" w:hAnsi="Arial" w:cs="Arial"/>
          <w:b/>
        </w:rPr>
      </w:pPr>
    </w:p>
    <w:p w:rsidR="00F40F37" w:rsidRDefault="00F40F37" w:rsidP="002D6D20">
      <w:pPr>
        <w:spacing w:after="240" w:line="240" w:lineRule="auto"/>
        <w:jc w:val="center"/>
        <w:rPr>
          <w:rFonts w:ascii="Arial" w:hAnsi="Arial" w:cs="Arial"/>
          <w:b/>
        </w:rPr>
      </w:pPr>
    </w:p>
    <w:p w:rsidR="00E844FF" w:rsidRPr="00C06872" w:rsidRDefault="00E844FF" w:rsidP="002D6D20">
      <w:pPr>
        <w:spacing w:after="240" w:line="240" w:lineRule="auto"/>
        <w:jc w:val="center"/>
        <w:rPr>
          <w:rFonts w:ascii="Arial" w:hAnsi="Arial" w:cs="Arial"/>
          <w:b/>
        </w:rPr>
      </w:pPr>
      <w:r w:rsidRPr="00C06872">
        <w:rPr>
          <w:rFonts w:ascii="Arial" w:hAnsi="Arial" w:cs="Arial"/>
          <w:b/>
        </w:rPr>
        <w:lastRenderedPageBreak/>
        <w:t>Cuadro</w:t>
      </w:r>
      <w:r>
        <w:rPr>
          <w:rFonts w:ascii="Arial" w:hAnsi="Arial" w:cs="Arial"/>
          <w:b/>
        </w:rPr>
        <w:t xml:space="preserve"> </w:t>
      </w:r>
      <w:r w:rsidR="00C86F7D">
        <w:rPr>
          <w:rFonts w:ascii="Arial" w:hAnsi="Arial" w:cs="Arial"/>
          <w:b/>
        </w:rPr>
        <w:t>1</w:t>
      </w:r>
      <w:r w:rsidR="00C3703B">
        <w:rPr>
          <w:rFonts w:ascii="Arial" w:hAnsi="Arial" w:cs="Arial"/>
          <w:b/>
        </w:rPr>
        <w:t>1</w:t>
      </w:r>
      <w:r w:rsidRPr="00C06872">
        <w:rPr>
          <w:rFonts w:ascii="Arial" w:hAnsi="Arial" w:cs="Arial"/>
          <w:b/>
        </w:rPr>
        <w:t>. Distribución de los especialistas médicos 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380"/>
        <w:gridCol w:w="1200"/>
      </w:tblGrid>
      <w:tr w:rsidR="00E844FF" w:rsidRPr="00C06872" w:rsidTr="00E93154">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844FF" w:rsidRPr="00C06872" w:rsidRDefault="00E844FF" w:rsidP="00E93154">
            <w:pPr>
              <w:spacing w:after="0" w:line="240" w:lineRule="auto"/>
              <w:jc w:val="center"/>
              <w:rPr>
                <w:rFonts w:ascii="Calibri" w:eastAsia="Times New Roman" w:hAnsi="Calibri" w:cs="Times New Roman"/>
                <w:b/>
                <w:bCs/>
                <w:color w:val="000000"/>
                <w:lang w:eastAsia="es-MX"/>
              </w:rPr>
            </w:pPr>
            <w:r w:rsidRPr="00C06872">
              <w:rPr>
                <w:rFonts w:ascii="Calibri" w:eastAsia="Times New Roman" w:hAnsi="Calibri" w:cs="Times New Roman"/>
                <w:b/>
                <w:bCs/>
                <w:color w:val="000000"/>
                <w:lang w:eastAsia="es-MX"/>
              </w:rPr>
              <w:t>Tasa</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505.7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185.3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172.0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135.0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103.0</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95.5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94.2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92.3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91.5</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91.3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90.8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88.7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87.2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86.2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83.3</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79.8</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73.9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70.2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69.1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64.1</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61.9</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51.7</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39.2</w:t>
            </w:r>
          </w:p>
        </w:tc>
      </w:tr>
      <w:tr w:rsidR="00E844FF" w:rsidRPr="00C06872" w:rsidTr="00E93154">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E844FF" w:rsidRPr="00C06872" w:rsidRDefault="00E844FF" w:rsidP="00E93154">
            <w:pPr>
              <w:spacing w:after="0" w:line="240" w:lineRule="auto"/>
              <w:jc w:val="center"/>
              <w:rPr>
                <w:rFonts w:ascii="Calibri" w:eastAsia="Times New Roman" w:hAnsi="Calibri" w:cs="Times New Roman"/>
                <w:color w:val="000000"/>
                <w:sz w:val="20"/>
                <w:szCs w:val="20"/>
                <w:lang w:eastAsia="es-MX"/>
              </w:rPr>
            </w:pPr>
            <w:r w:rsidRPr="00C06872">
              <w:rPr>
                <w:rFonts w:ascii="Calibri" w:eastAsia="Times New Roman" w:hAnsi="Calibri" w:cs="Times New Roman"/>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E844FF" w:rsidRPr="00C06872" w:rsidRDefault="00E844FF" w:rsidP="00E93154">
            <w:pPr>
              <w:spacing w:after="0" w:line="240" w:lineRule="auto"/>
              <w:jc w:val="right"/>
              <w:rPr>
                <w:rFonts w:ascii="Calibri" w:eastAsia="Times New Roman" w:hAnsi="Calibri" w:cs="Times New Roman"/>
                <w:color w:val="000000"/>
                <w:lang w:eastAsia="es-MX"/>
              </w:rPr>
            </w:pPr>
            <w:r w:rsidRPr="00C06872">
              <w:rPr>
                <w:rFonts w:ascii="Calibri" w:eastAsia="Times New Roman" w:hAnsi="Calibri" w:cs="Times New Roman"/>
                <w:color w:val="000000"/>
                <w:lang w:eastAsia="es-MX"/>
              </w:rPr>
              <w:t>35.9</w:t>
            </w:r>
          </w:p>
        </w:tc>
      </w:tr>
    </w:tbl>
    <w:p w:rsidR="00E844FF" w:rsidRPr="00B13AFE" w:rsidRDefault="00E844FF" w:rsidP="00E844FF">
      <w:pPr>
        <w:spacing w:line="360" w:lineRule="auto"/>
        <w:ind w:left="2124" w:firstLine="708"/>
        <w:jc w:val="both"/>
        <w:rPr>
          <w:rFonts w:ascii="Arial" w:hAnsi="Arial" w:cs="Arial"/>
          <w:sz w:val="20"/>
        </w:rPr>
      </w:pPr>
      <w:r w:rsidRPr="00B13AFE">
        <w:rPr>
          <w:rFonts w:ascii="Arial" w:hAnsi="Arial" w:cs="Arial"/>
          <w:b/>
          <w:sz w:val="20"/>
        </w:rPr>
        <w:t>Fuente:</w:t>
      </w:r>
      <w:r w:rsidRPr="00B13AFE">
        <w:rPr>
          <w:rFonts w:ascii="Arial" w:hAnsi="Arial" w:cs="Arial"/>
          <w:sz w:val="20"/>
        </w:rPr>
        <w:t xml:space="preserve"> Heinze </w:t>
      </w:r>
      <w:r w:rsidRPr="00B13AFE">
        <w:rPr>
          <w:rFonts w:ascii="Arial" w:hAnsi="Arial" w:cs="Arial"/>
          <w:i/>
          <w:sz w:val="20"/>
        </w:rPr>
        <w:t>et al</w:t>
      </w:r>
      <w:r w:rsidRPr="00B13AFE">
        <w:rPr>
          <w:rFonts w:ascii="Arial" w:hAnsi="Arial" w:cs="Arial"/>
          <w:sz w:val="20"/>
        </w:rPr>
        <w:t xml:space="preserve"> (2018), p. 344.</w:t>
      </w:r>
    </w:p>
    <w:p w:rsidR="00E844FF" w:rsidRDefault="00E844FF" w:rsidP="001D5556">
      <w:pPr>
        <w:spacing w:after="240" w:line="360" w:lineRule="auto"/>
        <w:jc w:val="both"/>
        <w:rPr>
          <w:rFonts w:ascii="Arial" w:hAnsi="Arial" w:cs="Arial"/>
        </w:rPr>
      </w:pPr>
      <w:r>
        <w:rPr>
          <w:rFonts w:ascii="Arial" w:hAnsi="Arial" w:cs="Arial"/>
        </w:rPr>
        <w:t xml:space="preserve">Respecto a lo anterior, es importante señalar que los recursos humanos son el activo principal de los sistemas de salud, y la capacidad de respuesta de éstos dependen, entre </w:t>
      </w:r>
      <w:r>
        <w:rPr>
          <w:rFonts w:ascii="Arial" w:hAnsi="Arial" w:cs="Arial"/>
        </w:rPr>
        <w:lastRenderedPageBreak/>
        <w:t>otros factores, del tamaño, composición, distribución y productividad de su fuerza laboral</w:t>
      </w:r>
      <w:r>
        <w:rPr>
          <w:rStyle w:val="Refdenotaalpie"/>
          <w:rFonts w:ascii="Arial" w:hAnsi="Arial" w:cs="Arial"/>
        </w:rPr>
        <w:footnoteReference w:id="81"/>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82"/>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83"/>
      </w:r>
      <w:r>
        <w:rPr>
          <w:rFonts w:ascii="Arial" w:hAnsi="Arial" w:cs="Arial"/>
        </w:rPr>
        <w:t>.</w:t>
      </w:r>
    </w:p>
    <w:p w:rsidR="00E844FF" w:rsidRDefault="00E844FF" w:rsidP="001D5556">
      <w:pPr>
        <w:spacing w:after="240"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E844FF" w:rsidRPr="001D5556" w:rsidRDefault="00E844FF" w:rsidP="001D5556">
      <w:pPr>
        <w:spacing w:after="240" w:line="360" w:lineRule="auto"/>
        <w:ind w:left="708"/>
        <w:jc w:val="both"/>
        <w:rPr>
          <w:rFonts w:ascii="Arial" w:hAnsi="Arial" w:cs="Arial"/>
          <w:sz w:val="20"/>
          <w:szCs w:val="20"/>
        </w:rPr>
      </w:pPr>
      <w:r w:rsidRPr="001D5556">
        <w:rPr>
          <w:rFonts w:ascii="Arial" w:hAnsi="Arial" w:cs="Arial"/>
          <w:sz w:val="20"/>
          <w:szCs w:val="20"/>
        </w:rPr>
        <w:t>“…promover el desarrollo de las comunidades económica y socialmente más atrasadas del país; crear estímulos y alicientes (sociales y económicos) para que los especialistas se instalen en las regiones con menor dotación de ellos (p. ej., establecer salarios preferenciales); dotar de mayores recursos económicos a los estados con mayor escasez de recursos para la salud; mejorar la calidad de vida en las regiones menos dotadas; mejorar el acceso cercano a centros educativos de calidad; mejorar la infraestructura general y servicios de las ciudades pequeñas (vivienda, transporte, comunicaciones, escuelas, centros hospitalarios, etc.); mejorar el acceso a medios electrónicos en todas las regiones del país e intensificar el uso de la telemedicina; establecer programas de desarrollo y actualización para especialistas en las regiones menos dotadas de ellos; abrir plazas de especialistas en las zonas donde casi no los haya, con algún compromiso de parte de los candidatos de permanecer en ellas al menos durante cierto lapso, una vez concluida la especialidad;</w:t>
      </w:r>
      <w:r w:rsidRPr="001D5556">
        <w:rPr>
          <w:sz w:val="20"/>
          <w:szCs w:val="20"/>
        </w:rPr>
        <w:t xml:space="preserve"> </w:t>
      </w:r>
      <w:r w:rsidRPr="001D5556">
        <w:rPr>
          <w:rFonts w:ascii="Arial" w:hAnsi="Arial" w:cs="Arial"/>
          <w:sz w:val="20"/>
          <w:szCs w:val="20"/>
        </w:rPr>
        <w:t xml:space="preserve">unificar el Sistema nacional de salud; asegurar la cobertura universal de los servicios de salud; establecer un sistema de planeación estratégica que permita controlar la dotación de especialistas por regiones; elaborar un diagnóstico de las fortalezas, debilidades y necesidades reales de especialistas por regiones (de acuerdo con sus perfiles epidemiológicos); elaborar un diagnóstico situacional y divulgar la información resultante; que las autoridades de salud intensifiquen los mecanismos de promoción para atraer a los </w:t>
      </w:r>
      <w:r w:rsidRPr="001D5556">
        <w:rPr>
          <w:rFonts w:ascii="Arial" w:hAnsi="Arial" w:cs="Arial"/>
          <w:sz w:val="20"/>
          <w:szCs w:val="20"/>
        </w:rPr>
        <w:lastRenderedPageBreak/>
        <w:t>especialistas a las regiones menos dotadas; crear la infraestructura necesaria en las ciudades pequeñas para la práctica de las especialidades necesarias en ellas (p. ej., hospitales de alta especialidad similares a los de poblaciones pequeñas aledañas a la Ciudad de México, como San Juan del Río, Chalco, etc.); establecer al menos un hospital de tercer nivel por cada 15 municipios; incrementar el número de hospitales institucionales en las comunidades menos dotadas de especialistas; fortalecer y/o crear los programas de formación de especialistas en todos los estados de la República; revisar los planes y programas de la licenciatura de medicina y de las especialidades médicas para motivar a sus egresados a practicar la medicina en las comunidades menos dotadas de especialistas; promover una medicina más social.” (p.173)</w:t>
      </w:r>
      <w:r w:rsidRPr="001D5556">
        <w:rPr>
          <w:rStyle w:val="Refdenotaalpie"/>
          <w:rFonts w:ascii="Arial" w:hAnsi="Arial" w:cs="Arial"/>
          <w:sz w:val="20"/>
          <w:szCs w:val="20"/>
        </w:rPr>
        <w:footnoteReference w:id="84"/>
      </w:r>
    </w:p>
    <w:p w:rsidR="00E844FF" w:rsidRDefault="00E844FF" w:rsidP="001D5556">
      <w:pPr>
        <w:spacing w:after="240"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E844FF" w:rsidRDefault="00E844FF" w:rsidP="002D6D20">
      <w:pPr>
        <w:spacing w:after="240"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85"/>
      </w:r>
      <w:r>
        <w:rPr>
          <w:rFonts w:ascii="Arial" w:hAnsi="Arial" w:cs="Arial"/>
        </w:rPr>
        <w:t xml:space="preserve"> </w:t>
      </w:r>
      <w:r>
        <w:rPr>
          <w:rStyle w:val="Refdenotaalpie"/>
          <w:rFonts w:ascii="Arial" w:hAnsi="Arial" w:cs="Arial"/>
        </w:rPr>
        <w:footnoteReference w:id="86"/>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Pr="005C538D">
        <w:rPr>
          <w:rFonts w:ascii="Arial" w:hAnsi="Arial" w:cs="Arial"/>
          <w:i/>
        </w:rPr>
        <w:t>et al</w:t>
      </w:r>
      <w:r>
        <w:rPr>
          <w:rFonts w:ascii="Arial" w:hAnsi="Arial" w:cs="Arial"/>
        </w:rPr>
        <w:t xml:space="preserve"> señalan problemas de ineficiencia en la inserción de los médicos –generales y especialistas– al mercado laboral; sus estimaciones sugieren que 87.7% de los médicos en el país están empleados, por otro lado 8.9% de estos profesionistas están en el subempleo y 3.4% en el </w:t>
      </w:r>
      <w:r>
        <w:rPr>
          <w:rFonts w:ascii="Arial" w:hAnsi="Arial" w:cs="Arial"/>
        </w:rPr>
        <w:lastRenderedPageBreak/>
        <w:t>desempleo, por lo cual hay un desperdicio de 12.3% de los médicos a nivel nacional</w:t>
      </w:r>
      <w:r>
        <w:rPr>
          <w:rStyle w:val="Refdenotaalpie"/>
          <w:rFonts w:ascii="Arial" w:hAnsi="Arial" w:cs="Arial"/>
        </w:rPr>
        <w:footnoteReference w:id="87"/>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88"/>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89"/>
      </w:r>
      <w:r>
        <w:rPr>
          <w:rFonts w:ascii="Arial" w:hAnsi="Arial" w:cs="Arial"/>
        </w:rPr>
        <w:t xml:space="preserve"> .</w:t>
      </w:r>
    </w:p>
    <w:p w:rsidR="00E844FF" w:rsidRPr="00DA219B" w:rsidRDefault="00E844FF" w:rsidP="00E844FF">
      <w:pPr>
        <w:spacing w:line="36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E844FF" w:rsidRDefault="00E844FF" w:rsidP="003E5F2A">
      <w:pPr>
        <w:spacing w:after="0" w:line="240" w:lineRule="auto"/>
        <w:jc w:val="center"/>
        <w:rPr>
          <w:rFonts w:ascii="Arial" w:hAnsi="Arial" w:cs="Arial"/>
        </w:rPr>
      </w:pPr>
      <w:r>
        <w:rPr>
          <w:noProof/>
          <w:lang w:eastAsia="es-MX"/>
        </w:rPr>
        <w:drawing>
          <wp:inline distT="0" distB="0" distL="0" distR="0" wp14:anchorId="6F2B3F47" wp14:editId="69276C2B">
            <wp:extent cx="4572000" cy="2743200"/>
            <wp:effectExtent l="0" t="0" r="0" b="0"/>
            <wp:docPr id="74" name="Gráfico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844FF" w:rsidRPr="00B13AFE" w:rsidRDefault="00E844FF" w:rsidP="000D2BC9">
      <w:pPr>
        <w:spacing w:after="0" w:line="240" w:lineRule="auto"/>
        <w:ind w:left="1416" w:firstLine="708"/>
        <w:jc w:val="both"/>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3E5F2A" w:rsidRDefault="003E5F2A" w:rsidP="00F75F85">
      <w:pPr>
        <w:spacing w:after="240" w:line="360" w:lineRule="auto"/>
        <w:jc w:val="both"/>
        <w:rPr>
          <w:rFonts w:ascii="Arial" w:hAnsi="Arial" w:cs="Arial"/>
        </w:rPr>
      </w:pPr>
    </w:p>
    <w:p w:rsidR="00E844FF" w:rsidRDefault="00E844FF" w:rsidP="001D5556">
      <w:pPr>
        <w:spacing w:after="240" w:line="360" w:lineRule="auto"/>
        <w:jc w:val="both"/>
        <w:rPr>
          <w:rFonts w:ascii="Arial" w:hAnsi="Arial" w:cs="Arial"/>
          <w:b/>
        </w:rPr>
      </w:pPr>
      <w:r>
        <w:rPr>
          <w:rFonts w:ascii="Arial" w:hAnsi="Arial" w:cs="Arial"/>
        </w:rPr>
        <w:t xml:space="preserve">En cuanto a la posición de la ocupación de los médicos con estudios de posgrado (Gráfica </w:t>
      </w:r>
      <w:r w:rsidR="003E5F2A">
        <w:rPr>
          <w:rFonts w:ascii="Arial" w:hAnsi="Arial" w:cs="Arial"/>
        </w:rPr>
        <w:t>11</w:t>
      </w:r>
      <w:r>
        <w:rPr>
          <w:rFonts w:ascii="Arial" w:hAnsi="Arial" w:cs="Arial"/>
        </w:rPr>
        <w:t>), la mayoría se constituye como t</w:t>
      </w:r>
      <w:r w:rsidRPr="00DA4049">
        <w:rPr>
          <w:rFonts w:ascii="Arial" w:hAnsi="Arial" w:cs="Arial"/>
        </w:rPr>
        <w:t>rabajadores subordinados y remunerados</w:t>
      </w:r>
      <w:r>
        <w:rPr>
          <w:rFonts w:ascii="Arial" w:hAnsi="Arial" w:cs="Arial"/>
        </w:rPr>
        <w:t xml:space="preserve"> (69%), en </w:t>
      </w:r>
      <w:r>
        <w:rPr>
          <w:rFonts w:ascii="Arial" w:hAnsi="Arial" w:cs="Arial"/>
        </w:rPr>
        <w:lastRenderedPageBreak/>
        <w:t>menor proporción están aquellos que son empleadores (15.3%) y trabajadores por cuenta propia (15.2%)</w:t>
      </w:r>
      <w:r>
        <w:rPr>
          <w:rStyle w:val="Refdenotaalpie"/>
          <w:rFonts w:ascii="Arial" w:hAnsi="Arial" w:cs="Arial"/>
        </w:rPr>
        <w:footnoteReference w:id="90"/>
      </w:r>
      <w:r>
        <w:rPr>
          <w:rFonts w:ascii="Arial" w:hAnsi="Arial" w:cs="Arial"/>
        </w:rPr>
        <w:t xml:space="preserve">. </w:t>
      </w:r>
    </w:p>
    <w:p w:rsidR="00E844FF" w:rsidRPr="00DA219B" w:rsidRDefault="00E844FF" w:rsidP="00F75F85">
      <w:pPr>
        <w:spacing w:after="240" w:line="240" w:lineRule="auto"/>
        <w:jc w:val="center"/>
        <w:rPr>
          <w:rFonts w:ascii="Arial" w:hAnsi="Arial" w:cs="Arial"/>
          <w:b/>
        </w:rPr>
      </w:pPr>
      <w:r w:rsidRPr="00DA219B">
        <w:rPr>
          <w:rFonts w:ascii="Arial" w:hAnsi="Arial" w:cs="Arial"/>
          <w:b/>
        </w:rPr>
        <w:t>Gráfica</w:t>
      </w:r>
      <w:r>
        <w:rPr>
          <w:rFonts w:ascii="Arial" w:hAnsi="Arial" w:cs="Arial"/>
          <w:b/>
        </w:rPr>
        <w:t xml:space="preserve"> </w:t>
      </w:r>
      <w:r w:rsidR="003E5F2A">
        <w:rPr>
          <w:rFonts w:ascii="Arial" w:hAnsi="Arial" w:cs="Arial"/>
          <w:b/>
        </w:rPr>
        <w:t>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286DA4AF" wp14:editId="1153991B">
            <wp:extent cx="4818832" cy="2412221"/>
            <wp:effectExtent l="0" t="0" r="1270" b="7620"/>
            <wp:docPr id="75" name="Gráfico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E844FF" w:rsidRPr="00B13AFE" w:rsidRDefault="00E844FF" w:rsidP="000D2BC9">
      <w:pPr>
        <w:spacing w:after="0" w:line="240" w:lineRule="auto"/>
        <w:ind w:left="1416" w:firstLine="708"/>
        <w:rPr>
          <w:rFonts w:ascii="Arial" w:hAnsi="Arial" w:cs="Arial"/>
          <w:sz w:val="20"/>
        </w:rPr>
      </w:pPr>
      <w:r w:rsidRPr="00B13AFE">
        <w:rPr>
          <w:rFonts w:ascii="Arial" w:hAnsi="Arial" w:cs="Arial"/>
          <w:b/>
          <w:sz w:val="20"/>
        </w:rPr>
        <w:t>Fuente:</w:t>
      </w:r>
      <w:r>
        <w:rPr>
          <w:rFonts w:ascii="Arial" w:hAnsi="Arial" w:cs="Arial"/>
          <w:sz w:val="20"/>
        </w:rPr>
        <w:t xml:space="preserve"> Elaboración propia con base en INEGI (2019a).</w:t>
      </w:r>
    </w:p>
    <w:p w:rsidR="00D478F0" w:rsidRPr="00D478F0" w:rsidRDefault="00D478F0" w:rsidP="003D3C6B">
      <w:pPr>
        <w:spacing w:after="240" w:line="360" w:lineRule="auto"/>
        <w:jc w:val="both"/>
        <w:rPr>
          <w:rFonts w:ascii="Arial" w:hAnsi="Arial" w:cs="Arial"/>
          <w:sz w:val="6"/>
        </w:rPr>
      </w:pPr>
    </w:p>
    <w:p w:rsidR="00E844FF" w:rsidRDefault="00E844FF" w:rsidP="001D5556">
      <w:pPr>
        <w:spacing w:after="240" w:line="360" w:lineRule="auto"/>
        <w:jc w:val="both"/>
        <w:rPr>
          <w:rFonts w:ascii="Arial" w:hAnsi="Arial" w:cs="Arial"/>
        </w:rPr>
      </w:pPr>
      <w:r>
        <w:rPr>
          <w:rFonts w:ascii="Arial" w:hAnsi="Arial" w:cs="Arial"/>
        </w:rPr>
        <w:t xml:space="preserve">Respecto a las percepciones económicas (Gráfica </w:t>
      </w:r>
      <w:r w:rsidR="00F32152">
        <w:rPr>
          <w:rFonts w:ascii="Arial" w:hAnsi="Arial" w:cs="Arial"/>
        </w:rPr>
        <w:t>12</w:t>
      </w:r>
      <w:r>
        <w:rPr>
          <w:rFonts w:ascii="Arial" w:hAnsi="Arial" w:cs="Arial"/>
        </w:rPr>
        <w:t>),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91"/>
      </w:r>
      <w:r>
        <w:rPr>
          <w:rFonts w:ascii="Arial" w:hAnsi="Arial" w:cs="Arial"/>
        </w:rPr>
        <w:t xml:space="preserve">. </w:t>
      </w:r>
    </w:p>
    <w:p w:rsidR="00E844FF" w:rsidRPr="00DA219B" w:rsidRDefault="00E844FF" w:rsidP="00E844FF">
      <w:pPr>
        <w:spacing w:line="240" w:lineRule="auto"/>
        <w:jc w:val="center"/>
        <w:rPr>
          <w:rFonts w:ascii="Arial" w:hAnsi="Arial" w:cs="Arial"/>
          <w:b/>
        </w:rPr>
      </w:pPr>
      <w:r w:rsidRPr="00DA219B">
        <w:rPr>
          <w:rFonts w:ascii="Arial" w:hAnsi="Arial" w:cs="Arial"/>
          <w:b/>
        </w:rPr>
        <w:t>Gráfica</w:t>
      </w:r>
      <w:r>
        <w:rPr>
          <w:rFonts w:ascii="Arial" w:hAnsi="Arial" w:cs="Arial"/>
          <w:b/>
        </w:rPr>
        <w:t xml:space="preserve"> </w:t>
      </w:r>
      <w:r w:rsidR="00F32152">
        <w:rPr>
          <w:rFonts w:ascii="Arial" w:hAnsi="Arial" w:cs="Arial"/>
          <w:b/>
        </w:rPr>
        <w:t>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E844FF" w:rsidRDefault="00E844FF" w:rsidP="00F32152">
      <w:pPr>
        <w:spacing w:after="0" w:line="240" w:lineRule="auto"/>
        <w:jc w:val="center"/>
        <w:rPr>
          <w:rFonts w:ascii="Arial" w:hAnsi="Arial" w:cs="Arial"/>
        </w:rPr>
      </w:pPr>
      <w:r>
        <w:rPr>
          <w:noProof/>
          <w:lang w:eastAsia="es-MX"/>
        </w:rPr>
        <w:drawing>
          <wp:inline distT="0" distB="0" distL="0" distR="0" wp14:anchorId="4F2557E1" wp14:editId="66A93FFB">
            <wp:extent cx="4841271" cy="2154170"/>
            <wp:effectExtent l="0" t="0" r="16510" b="17780"/>
            <wp:docPr id="76" name="Gráfico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E844FF" w:rsidRPr="009F3F6B" w:rsidRDefault="00F32152" w:rsidP="00F32152">
      <w:pPr>
        <w:spacing w:after="0" w:line="240" w:lineRule="auto"/>
        <w:ind w:left="708" w:firstLine="708"/>
        <w:rPr>
          <w:rFonts w:ascii="Arial" w:hAnsi="Arial" w:cs="Arial"/>
          <w:sz w:val="20"/>
        </w:rPr>
      </w:pPr>
      <w:r>
        <w:rPr>
          <w:rFonts w:ascii="Arial" w:hAnsi="Arial" w:cs="Arial"/>
          <w:b/>
          <w:sz w:val="20"/>
        </w:rPr>
        <w:t xml:space="preserve">        </w:t>
      </w:r>
      <w:r w:rsidR="00E844FF" w:rsidRPr="00B13AFE">
        <w:rPr>
          <w:rFonts w:ascii="Arial" w:hAnsi="Arial" w:cs="Arial"/>
          <w:b/>
          <w:sz w:val="20"/>
        </w:rPr>
        <w:t>Fuente:</w:t>
      </w:r>
      <w:r w:rsidR="00E844FF">
        <w:rPr>
          <w:rFonts w:ascii="Arial" w:hAnsi="Arial" w:cs="Arial"/>
          <w:sz w:val="20"/>
        </w:rPr>
        <w:t xml:space="preserve"> Elaboración propia con base en INEGI (2019a).</w:t>
      </w:r>
    </w:p>
    <w:p w:rsidR="004A55AA" w:rsidRPr="00F17473" w:rsidRDefault="004A55AA" w:rsidP="00F75F85">
      <w:pPr>
        <w:spacing w:after="240" w:line="360" w:lineRule="auto"/>
        <w:jc w:val="both"/>
        <w:rPr>
          <w:rFonts w:ascii="Arial" w:hAnsi="Arial" w:cs="Arial"/>
          <w:b/>
        </w:rPr>
      </w:pPr>
      <w:r>
        <w:rPr>
          <w:rFonts w:ascii="Arial" w:hAnsi="Arial" w:cs="Arial"/>
          <w:b/>
        </w:rPr>
        <w:lastRenderedPageBreak/>
        <w:t xml:space="preserve">VI. </w:t>
      </w:r>
      <w:r w:rsidRPr="00F17473">
        <w:rPr>
          <w:rFonts w:ascii="Arial" w:hAnsi="Arial" w:cs="Arial"/>
          <w:b/>
        </w:rPr>
        <w:t xml:space="preserve">OFERTA EDUCATIVA </w:t>
      </w:r>
    </w:p>
    <w:p w:rsidR="004A55AA" w:rsidRPr="00642DED" w:rsidRDefault="004A55AA" w:rsidP="001D5556">
      <w:pPr>
        <w:spacing w:after="240"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92"/>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4A55AA" w:rsidRPr="00642DED" w:rsidRDefault="004A55AA" w:rsidP="001D5556">
      <w:pPr>
        <w:spacing w:after="240"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59049D">
        <w:rPr>
          <w:rFonts w:ascii="Arial" w:hAnsi="Arial" w:cs="Arial"/>
        </w:rPr>
        <w:t>Pediatría</w:t>
      </w:r>
      <w:r w:rsidRPr="00642DED">
        <w:rPr>
          <w:rFonts w:ascii="Arial" w:hAnsi="Arial" w:cs="Arial"/>
        </w:rPr>
        <w:t xml:space="preserve">, primero se abordarán algunos aspectos generales de las especialidades médicas que servirán de referentes.  </w:t>
      </w:r>
    </w:p>
    <w:p w:rsidR="004A55AA" w:rsidRDefault="004A55AA" w:rsidP="001D5556">
      <w:pPr>
        <w:spacing w:after="240"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se estudiaron tanto la oferta como la demanda en un periodo de siete años, de 2009 a 2016. Algunos de los datos se encuentran en la Tabla 1.</w:t>
      </w:r>
    </w:p>
    <w:p w:rsidR="004A55AA" w:rsidRPr="006A1B3A" w:rsidRDefault="00C3703B" w:rsidP="004A55AA">
      <w:pPr>
        <w:jc w:val="center"/>
        <w:rPr>
          <w:rFonts w:ascii="Indivisa Text Sans" w:hAnsi="Indivisa Text Sans"/>
          <w:b/>
        </w:rPr>
      </w:pPr>
      <w:r>
        <w:rPr>
          <w:rFonts w:ascii="Arial" w:hAnsi="Arial" w:cs="Arial"/>
          <w:b/>
        </w:rPr>
        <w:t>Cuadro</w:t>
      </w:r>
      <w:r w:rsidR="004A55AA" w:rsidRPr="00642DED">
        <w:rPr>
          <w:rFonts w:ascii="Arial" w:hAnsi="Arial" w:cs="Arial"/>
          <w:b/>
        </w:rPr>
        <w:t xml:space="preserve"> 1</w:t>
      </w:r>
      <w:r>
        <w:rPr>
          <w:rFonts w:ascii="Arial" w:hAnsi="Arial" w:cs="Arial"/>
          <w:b/>
        </w:rPr>
        <w:t>2</w:t>
      </w:r>
      <w:r w:rsidR="004A55AA" w:rsidRPr="00642DED">
        <w:rPr>
          <w:rFonts w:ascii="Arial" w:hAnsi="Arial" w:cs="Arial"/>
          <w:b/>
        </w:rPr>
        <w:t>.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4A55AA" w:rsidRPr="006A1B3A" w:rsidTr="00E93154">
        <w:trPr>
          <w:tblHeader/>
          <w:jc w:val="center"/>
        </w:trPr>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rsidR="004A55AA" w:rsidRPr="00642DED" w:rsidRDefault="004A55AA" w:rsidP="00E93154">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4A55AA" w:rsidRPr="006A1B3A" w:rsidTr="00E93154">
        <w:trPr>
          <w:jc w:val="center"/>
        </w:trPr>
        <w:tc>
          <w:tcPr>
            <w:tcW w:w="4414" w:type="dxa"/>
          </w:tcPr>
          <w:p w:rsidR="004A55AA" w:rsidRPr="00642DED" w:rsidRDefault="004A55AA" w:rsidP="00E93154">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4A55AA" w:rsidRPr="00642DED" w:rsidRDefault="004A55AA" w:rsidP="00E93154">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4A55AA" w:rsidRPr="00642DED" w:rsidRDefault="004A55AA" w:rsidP="00E93154">
            <w:pPr>
              <w:jc w:val="both"/>
              <w:rPr>
                <w:rFonts w:ascii="Arial" w:hAnsi="Arial" w:cs="Arial"/>
                <w:sz w:val="20"/>
                <w:szCs w:val="20"/>
              </w:rPr>
            </w:pPr>
          </w:p>
        </w:tc>
      </w:tr>
      <w:tr w:rsidR="004A55AA" w:rsidRPr="006A1B3A" w:rsidTr="00E93154">
        <w:trPr>
          <w:jc w:val="center"/>
        </w:trPr>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t>Las 10 especialidades más demandadas fueron:</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Anestesiología</w:t>
            </w:r>
          </w:p>
          <w:p w:rsidR="004A55AA"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Traumatología y Ortopedia</w:t>
            </w:r>
          </w:p>
          <w:p w:rsidR="00F40F37" w:rsidRPr="00642DED" w:rsidRDefault="00F40F37" w:rsidP="00F40F37">
            <w:pPr>
              <w:pStyle w:val="Prrafodelista"/>
              <w:jc w:val="both"/>
              <w:rPr>
                <w:rFonts w:ascii="Arial" w:hAnsi="Arial" w:cs="Arial"/>
                <w:sz w:val="20"/>
                <w:szCs w:val="20"/>
              </w:rPr>
            </w:pPr>
          </w:p>
          <w:p w:rsidR="00F40F37" w:rsidRPr="00F40F37" w:rsidRDefault="00F40F37" w:rsidP="00F40F37">
            <w:pPr>
              <w:pStyle w:val="Prrafodelista"/>
              <w:rPr>
                <w:rFonts w:ascii="Arial" w:hAnsi="Arial" w:cs="Arial"/>
                <w:sz w:val="20"/>
                <w:szCs w:val="20"/>
              </w:rPr>
            </w:pPr>
          </w:p>
          <w:p w:rsidR="004A55AA"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Imagenología diagnóstica y terapéutica</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Medicina de Urgencias</w:t>
            </w:r>
          </w:p>
          <w:p w:rsidR="004A55AA" w:rsidRPr="00642DED" w:rsidRDefault="004A55AA" w:rsidP="004A55AA">
            <w:pPr>
              <w:pStyle w:val="Prrafodelista"/>
              <w:numPr>
                <w:ilvl w:val="0"/>
                <w:numId w:val="9"/>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c>
          <w:tcPr>
            <w:tcW w:w="4414" w:type="dxa"/>
          </w:tcPr>
          <w:p w:rsidR="004A55AA" w:rsidRPr="00642DED" w:rsidRDefault="004A55AA" w:rsidP="00E93154">
            <w:pPr>
              <w:jc w:val="both"/>
              <w:rPr>
                <w:rFonts w:ascii="Arial" w:hAnsi="Arial" w:cs="Arial"/>
                <w:sz w:val="20"/>
                <w:szCs w:val="20"/>
              </w:rPr>
            </w:pPr>
            <w:r w:rsidRPr="00642DED">
              <w:rPr>
                <w:rFonts w:ascii="Arial" w:hAnsi="Arial" w:cs="Arial"/>
                <w:sz w:val="20"/>
                <w:szCs w:val="20"/>
              </w:rPr>
              <w:lastRenderedPageBreak/>
              <w:t>Las 10 especialidades con mayor oferta fueron:</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Familiar</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Interna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Pediatría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Anestesiología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Ginecología y Obstetricia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Cirugía General</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Medicina de Urgencias</w:t>
            </w:r>
          </w:p>
          <w:p w:rsidR="004A55AA"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Traumatología y Ortopedia</w:t>
            </w:r>
          </w:p>
          <w:p w:rsidR="00F40F37" w:rsidRPr="00642DED" w:rsidRDefault="00F40F37" w:rsidP="00F40F37">
            <w:pPr>
              <w:pStyle w:val="Prrafodelista"/>
              <w:jc w:val="both"/>
              <w:rPr>
                <w:rFonts w:ascii="Arial" w:hAnsi="Arial" w:cs="Arial"/>
                <w:sz w:val="20"/>
                <w:szCs w:val="20"/>
              </w:rPr>
            </w:pPr>
          </w:p>
          <w:p w:rsidR="00F40F37" w:rsidRDefault="00F40F37" w:rsidP="00F40F37">
            <w:pPr>
              <w:pStyle w:val="Prrafodelista"/>
              <w:jc w:val="both"/>
              <w:rPr>
                <w:rFonts w:ascii="Arial" w:hAnsi="Arial" w:cs="Arial"/>
                <w:sz w:val="20"/>
                <w:szCs w:val="20"/>
              </w:rPr>
            </w:pP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Imagenología diagnóstica y terapéutica</w:t>
            </w:r>
          </w:p>
          <w:p w:rsidR="004A55AA" w:rsidRPr="00642DED" w:rsidRDefault="004A55AA" w:rsidP="004A55AA">
            <w:pPr>
              <w:pStyle w:val="Prrafodelista"/>
              <w:numPr>
                <w:ilvl w:val="0"/>
                <w:numId w:val="8"/>
              </w:numPr>
              <w:jc w:val="both"/>
              <w:rPr>
                <w:rFonts w:ascii="Arial" w:hAnsi="Arial" w:cs="Arial"/>
                <w:sz w:val="20"/>
                <w:szCs w:val="20"/>
              </w:rPr>
            </w:pPr>
            <w:r w:rsidRPr="00642DED">
              <w:rPr>
                <w:rFonts w:ascii="Arial" w:hAnsi="Arial" w:cs="Arial"/>
                <w:sz w:val="20"/>
                <w:szCs w:val="20"/>
              </w:rPr>
              <w:t>Oftalmología</w:t>
            </w:r>
          </w:p>
          <w:p w:rsidR="004A55AA" w:rsidRPr="00642DED" w:rsidRDefault="004A55AA" w:rsidP="00E93154">
            <w:pPr>
              <w:pStyle w:val="Prrafodelista"/>
              <w:jc w:val="both"/>
              <w:rPr>
                <w:rFonts w:ascii="Arial" w:hAnsi="Arial" w:cs="Arial"/>
                <w:sz w:val="20"/>
                <w:szCs w:val="20"/>
              </w:rPr>
            </w:pPr>
          </w:p>
        </w:tc>
      </w:tr>
      <w:tr w:rsidR="004A55AA" w:rsidRPr="006A1B3A" w:rsidTr="00E93154">
        <w:trPr>
          <w:jc w:val="center"/>
        </w:trPr>
        <w:tc>
          <w:tcPr>
            <w:tcW w:w="8828" w:type="dxa"/>
            <w:gridSpan w:val="2"/>
          </w:tcPr>
          <w:p w:rsidR="004A55AA" w:rsidRPr="00642DED" w:rsidRDefault="004A55AA" w:rsidP="00E93154">
            <w:pPr>
              <w:jc w:val="center"/>
              <w:rPr>
                <w:rFonts w:ascii="Arial" w:hAnsi="Arial" w:cs="Arial"/>
                <w:sz w:val="20"/>
                <w:szCs w:val="20"/>
              </w:rPr>
            </w:pPr>
            <w:r w:rsidRPr="00642DED">
              <w:rPr>
                <w:rFonts w:ascii="Arial" w:hAnsi="Arial" w:cs="Arial"/>
                <w:sz w:val="20"/>
                <w:szCs w:val="20"/>
              </w:rPr>
              <w:lastRenderedPageBreak/>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4A55AA" w:rsidRPr="00642DED" w:rsidRDefault="004A55AA" w:rsidP="004A55AA">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Elaboración propia con base en Brechas en la Disponibilidad de Médicos y Enfermeras Especialistas en el Sistema Nacional de Salud (2017).</w:t>
      </w:r>
    </w:p>
    <w:p w:rsidR="004A55AA" w:rsidRDefault="005D7A81" w:rsidP="001D5556">
      <w:pPr>
        <w:spacing w:after="240" w:line="360" w:lineRule="auto"/>
        <w:jc w:val="both"/>
        <w:rPr>
          <w:rFonts w:ascii="Arial" w:hAnsi="Arial" w:cs="Arial"/>
        </w:rPr>
      </w:pPr>
      <w:r>
        <w:rPr>
          <w:rFonts w:ascii="Arial" w:hAnsi="Arial" w:cs="Arial"/>
        </w:rPr>
        <w:t xml:space="preserve">Como puede observase la especialidad </w:t>
      </w:r>
      <w:r w:rsidR="0059049D">
        <w:rPr>
          <w:rFonts w:ascii="Arial" w:hAnsi="Arial" w:cs="Arial"/>
        </w:rPr>
        <w:t>de Pediatría ubicada en el 3</w:t>
      </w:r>
      <w:r w:rsidR="0059049D" w:rsidRPr="0059049D">
        <w:rPr>
          <w:rFonts w:ascii="Arial" w:hAnsi="Arial" w:cs="Arial"/>
          <w:vertAlign w:val="superscript"/>
        </w:rPr>
        <w:t>er</w:t>
      </w:r>
      <w:r w:rsidR="0059049D">
        <w:rPr>
          <w:rFonts w:ascii="Arial" w:hAnsi="Arial" w:cs="Arial"/>
        </w:rPr>
        <w:t xml:space="preserve"> lugar tanto de la demanda como de la oferta</w:t>
      </w:r>
      <w:r w:rsidR="001D3782">
        <w:rPr>
          <w:rFonts w:ascii="Arial" w:hAnsi="Arial" w:cs="Arial"/>
        </w:rPr>
        <w:t xml:space="preserve">, la hace una especialidad </w:t>
      </w:r>
      <w:r w:rsidR="0059049D">
        <w:rPr>
          <w:rFonts w:ascii="Arial" w:hAnsi="Arial" w:cs="Arial"/>
        </w:rPr>
        <w:t xml:space="preserve">con </w:t>
      </w:r>
      <w:r w:rsidR="001D3782">
        <w:rPr>
          <w:rFonts w:ascii="Arial" w:hAnsi="Arial" w:cs="Arial"/>
        </w:rPr>
        <w:t xml:space="preserve">mayor presencia en la atención a la salud y </w:t>
      </w:r>
      <w:r w:rsidR="0059049D">
        <w:rPr>
          <w:rFonts w:ascii="Arial" w:hAnsi="Arial" w:cs="Arial"/>
        </w:rPr>
        <w:t>significa</w:t>
      </w:r>
      <w:r w:rsidR="001D3782">
        <w:rPr>
          <w:rFonts w:ascii="Arial" w:hAnsi="Arial" w:cs="Arial"/>
        </w:rPr>
        <w:t xml:space="preserve"> la base para la derivación hacia otras especialidades.</w:t>
      </w:r>
      <w:r>
        <w:rPr>
          <w:rFonts w:ascii="Arial" w:hAnsi="Arial" w:cs="Arial"/>
        </w:rPr>
        <w:t xml:space="preserve"> </w:t>
      </w:r>
      <w:r w:rsidR="004A55AA" w:rsidRPr="00642DED">
        <w:rPr>
          <w:rFonts w:ascii="Arial" w:hAnsi="Arial" w:cs="Arial"/>
        </w:rPr>
        <w:t xml:space="preserve">Según el documento de la Academia Nacional de Medicina sobre </w:t>
      </w:r>
      <w:r w:rsidR="004A55AA" w:rsidRPr="00642DED">
        <w:rPr>
          <w:rFonts w:ascii="Arial" w:hAnsi="Arial" w:cs="Arial"/>
          <w:i/>
        </w:rPr>
        <w:t xml:space="preserve">La Formación de </w:t>
      </w:r>
      <w:r w:rsidR="004A55AA">
        <w:rPr>
          <w:rFonts w:ascii="Arial" w:hAnsi="Arial" w:cs="Arial"/>
          <w:i/>
        </w:rPr>
        <w:t>Médicos Especialistas en México</w:t>
      </w:r>
      <w:r w:rsidR="004A55AA">
        <w:rPr>
          <w:rStyle w:val="Refdenotaalpie"/>
          <w:rFonts w:ascii="Arial" w:hAnsi="Arial" w:cs="Arial"/>
          <w:i/>
        </w:rPr>
        <w:footnoteReference w:id="93"/>
      </w:r>
      <w:r w:rsidR="004A55AA"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004A55AA" w:rsidRPr="00642DED">
        <w:rPr>
          <w:rFonts w:ascii="Arial" w:hAnsi="Arial" w:cs="Arial"/>
          <w:i/>
        </w:rPr>
        <w:t xml:space="preserve">Brechas en la Disponibilidad de Médicos y Enfermeras Especialistas en el Sistema de Nacional de Salud </w:t>
      </w:r>
      <w:r w:rsidR="004A55AA" w:rsidRPr="00642DED">
        <w:rPr>
          <w:rFonts w:ascii="Arial" w:hAnsi="Arial" w:cs="Arial"/>
        </w:rPr>
        <w:t xml:space="preserve"> del Instituto Nacional de Salud Pública.</w:t>
      </w:r>
    </w:p>
    <w:p w:rsidR="0059049D" w:rsidRPr="0075576C" w:rsidRDefault="0059049D" w:rsidP="001D5556">
      <w:pPr>
        <w:spacing w:after="240" w:line="360" w:lineRule="auto"/>
        <w:jc w:val="both"/>
        <w:rPr>
          <w:rFonts w:ascii="Arial" w:hAnsi="Arial" w:cs="Arial"/>
        </w:rPr>
      </w:pPr>
      <w:r w:rsidRPr="0075576C">
        <w:rPr>
          <w:rFonts w:ascii="Arial" w:hAnsi="Arial" w:cs="Arial"/>
        </w:rPr>
        <w:t xml:space="preserve">A nivel nacional la Especialidad en Pediatría, se oferta en las siguientes IES privadas: Instituto Tecnológico y de Estudios Superiores de Monterrey, Nuevo León; Universidad Autónoma de Guadalajara, Jalisco; Universidad de Monterrey, Nuevo León; y Universidad La Salle, Ciudad de México. De acuerdo al comportamiento de estas universidades durante los años 2014 a 2018, han mantenido cifras sostenidas. </w:t>
      </w:r>
    </w:p>
    <w:p w:rsidR="00930CBC" w:rsidRDefault="0059049D" w:rsidP="001D5556">
      <w:pPr>
        <w:spacing w:after="240" w:line="360" w:lineRule="auto"/>
        <w:jc w:val="both"/>
        <w:rPr>
          <w:rFonts w:ascii="Arial" w:hAnsi="Arial" w:cs="Arial"/>
        </w:rPr>
      </w:pPr>
      <w:r w:rsidRPr="0075576C">
        <w:rPr>
          <w:rFonts w:ascii="Arial" w:hAnsi="Arial" w:cs="Arial"/>
        </w:rPr>
        <w:t xml:space="preserve">En cuanto a los datos de Ingreso, Matrícula y Egreso en el periodo de 2014 a </w:t>
      </w:r>
      <w:r>
        <w:rPr>
          <w:rFonts w:ascii="Arial" w:hAnsi="Arial" w:cs="Arial"/>
        </w:rPr>
        <w:t xml:space="preserve">2018, se muestra en la Gráfica </w:t>
      </w:r>
      <w:r w:rsidR="00023DD3">
        <w:rPr>
          <w:rFonts w:ascii="Arial" w:hAnsi="Arial" w:cs="Arial"/>
        </w:rPr>
        <w:t>1</w:t>
      </w:r>
      <w:r>
        <w:rPr>
          <w:rFonts w:ascii="Arial" w:hAnsi="Arial" w:cs="Arial"/>
        </w:rPr>
        <w:t>3</w:t>
      </w:r>
      <w:r w:rsidRPr="0075576C">
        <w:rPr>
          <w:rFonts w:ascii="Arial" w:hAnsi="Arial" w:cs="Arial"/>
        </w:rPr>
        <w:t>, que los rubros de Ingreso y Matrícula han disminuido a partir del 2016 a la actualidad, sin embargo, el Egreso ha reportado datos favorables en los últimos dos años.</w:t>
      </w:r>
    </w:p>
    <w:p w:rsidR="00930CBC" w:rsidRDefault="00930CBC" w:rsidP="001D5556">
      <w:pPr>
        <w:spacing w:after="240" w:line="360" w:lineRule="auto"/>
        <w:jc w:val="both"/>
        <w:rPr>
          <w:rFonts w:ascii="Arial" w:hAnsi="Arial" w:cs="Arial"/>
        </w:rPr>
      </w:pPr>
    </w:p>
    <w:p w:rsidR="00930CBC" w:rsidRDefault="00930CBC" w:rsidP="001D5556">
      <w:pPr>
        <w:spacing w:after="240" w:line="360" w:lineRule="auto"/>
        <w:jc w:val="both"/>
        <w:rPr>
          <w:rFonts w:ascii="Arial" w:hAnsi="Arial" w:cs="Arial"/>
        </w:rPr>
      </w:pPr>
    </w:p>
    <w:p w:rsidR="0059049D" w:rsidRDefault="0059049D" w:rsidP="001D5556">
      <w:pPr>
        <w:spacing w:after="240" w:line="360" w:lineRule="auto"/>
        <w:jc w:val="both"/>
        <w:rPr>
          <w:rFonts w:ascii="Arial" w:hAnsi="Arial" w:cs="Arial"/>
        </w:rPr>
      </w:pPr>
    </w:p>
    <w:p w:rsidR="00930CBC" w:rsidRDefault="00930CBC" w:rsidP="0059049D">
      <w:pPr>
        <w:spacing w:after="0" w:line="240" w:lineRule="auto"/>
        <w:jc w:val="center"/>
        <w:rPr>
          <w:rFonts w:ascii="Indivisa Text Sans" w:hAnsi="Indivisa Text Sans"/>
          <w:b/>
        </w:rPr>
      </w:pPr>
    </w:p>
    <w:p w:rsidR="0059049D" w:rsidRDefault="00930CBC" w:rsidP="0059049D">
      <w:pPr>
        <w:spacing w:after="0" w:line="240" w:lineRule="auto"/>
        <w:jc w:val="center"/>
        <w:rPr>
          <w:rFonts w:ascii="Indivisa Text Sans" w:hAnsi="Indivisa Text Sans"/>
          <w:b/>
        </w:rPr>
      </w:pPr>
      <w:r>
        <w:rPr>
          <w:rFonts w:ascii="Indivisa Text Sans" w:hAnsi="Indivisa Text Sans"/>
          <w:b/>
        </w:rPr>
        <w:lastRenderedPageBreak/>
        <w:t>G</w:t>
      </w:r>
      <w:r w:rsidR="0059049D">
        <w:rPr>
          <w:rFonts w:ascii="Indivisa Text Sans" w:hAnsi="Indivisa Text Sans"/>
          <w:b/>
        </w:rPr>
        <w:t xml:space="preserve">ráfica </w:t>
      </w:r>
      <w:r w:rsidR="00023DD3">
        <w:rPr>
          <w:rFonts w:ascii="Indivisa Text Sans" w:hAnsi="Indivisa Text Sans"/>
          <w:b/>
        </w:rPr>
        <w:t>13</w:t>
      </w:r>
      <w:r w:rsidR="0059049D" w:rsidRPr="001F1665">
        <w:rPr>
          <w:rFonts w:ascii="Indivisa Text Sans" w:hAnsi="Indivisa Text Sans"/>
          <w:b/>
        </w:rPr>
        <w:t>. Evolución de Ingreso, Matrícula y Egreso de la Especialidad en</w:t>
      </w:r>
    </w:p>
    <w:p w:rsidR="0059049D" w:rsidRDefault="00023DD3" w:rsidP="0059049D">
      <w:pPr>
        <w:jc w:val="center"/>
        <w:rPr>
          <w:rFonts w:ascii="Indivisa Text Sans" w:hAnsi="Indivisa Text Sans"/>
        </w:rPr>
      </w:pPr>
      <w:r w:rsidRPr="001F1665">
        <w:rPr>
          <w:rFonts w:ascii="Indivisa Text Sans" w:hAnsi="Indivisa Text Sans"/>
          <w:b/>
          <w:noProof/>
          <w:lang w:eastAsia="es-MX"/>
        </w:rPr>
        <w:drawing>
          <wp:anchor distT="0" distB="0" distL="114300" distR="114300" simplePos="0" relativeHeight="251662336" behindDoc="0" locked="0" layoutInCell="1" allowOverlap="1" wp14:anchorId="4C0764FD" wp14:editId="52BA0E02">
            <wp:simplePos x="0" y="0"/>
            <wp:positionH relativeFrom="margin">
              <wp:posOffset>423296</wp:posOffset>
            </wp:positionH>
            <wp:positionV relativeFrom="paragraph">
              <wp:posOffset>209492</wp:posOffset>
            </wp:positionV>
            <wp:extent cx="4757124" cy="2305634"/>
            <wp:effectExtent l="0" t="0" r="5715" b="0"/>
            <wp:wrapNone/>
            <wp:docPr id="52" name="Gráfico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r w:rsidR="0059049D" w:rsidRPr="001F1665">
        <w:rPr>
          <w:rFonts w:ascii="Indivisa Text Sans" w:hAnsi="Indivisa Text Sans"/>
          <w:b/>
        </w:rPr>
        <w:t>Pediatría nivel nacional 2014 a 2018.</w:t>
      </w:r>
    </w:p>
    <w:p w:rsidR="0059049D" w:rsidRPr="00023DD3" w:rsidRDefault="0059049D"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Default="0059049D"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023DD3" w:rsidRDefault="00023DD3" w:rsidP="00023DD3">
      <w:pPr>
        <w:spacing w:after="0" w:line="240" w:lineRule="auto"/>
        <w:rPr>
          <w:rFonts w:ascii="Arial" w:hAnsi="Arial" w:cs="Arial"/>
        </w:rPr>
      </w:pPr>
    </w:p>
    <w:p w:rsidR="0059049D" w:rsidRPr="00023DD3" w:rsidRDefault="0059049D" w:rsidP="00023DD3">
      <w:pPr>
        <w:spacing w:after="0" w:line="240" w:lineRule="auto"/>
        <w:rPr>
          <w:rFonts w:ascii="Arial" w:hAnsi="Arial" w:cs="Arial"/>
        </w:rPr>
      </w:pPr>
    </w:p>
    <w:p w:rsidR="0059049D" w:rsidRPr="00297AD6" w:rsidRDefault="0059049D" w:rsidP="0059049D">
      <w:pPr>
        <w:pStyle w:val="Sinespaciado"/>
        <w:jc w:val="center"/>
        <w:rPr>
          <w:rFonts w:ascii="Arial" w:hAnsi="Arial" w:cs="Arial"/>
          <w:sz w:val="18"/>
        </w:rPr>
      </w:pPr>
      <w:r w:rsidRPr="00297AD6">
        <w:rPr>
          <w:rFonts w:ascii="Arial" w:hAnsi="Arial" w:cs="Arial"/>
          <w:b/>
          <w:sz w:val="18"/>
        </w:rPr>
        <w:t>Fuente:</w:t>
      </w:r>
      <w:r w:rsidRPr="00297AD6">
        <w:rPr>
          <w:rFonts w:ascii="Arial" w:hAnsi="Arial" w:cs="Arial"/>
          <w:sz w:val="18"/>
        </w:rPr>
        <w:t xml:space="preserve"> Elaboración propia con base en ANUIES 2014 a 2018.</w:t>
      </w:r>
    </w:p>
    <w:p w:rsidR="0059049D" w:rsidRDefault="0059049D" w:rsidP="0059049D">
      <w:pPr>
        <w:jc w:val="both"/>
        <w:rPr>
          <w:rFonts w:ascii="Indivisa Text Sans" w:hAnsi="Indivisa Text Sans"/>
        </w:rPr>
      </w:pPr>
    </w:p>
    <w:p w:rsidR="0059049D" w:rsidRPr="00297AD6" w:rsidRDefault="0059049D" w:rsidP="001D5556">
      <w:pPr>
        <w:spacing w:after="240" w:line="360" w:lineRule="auto"/>
        <w:jc w:val="both"/>
        <w:rPr>
          <w:rFonts w:ascii="Arial" w:hAnsi="Arial" w:cs="Arial"/>
        </w:rPr>
      </w:pPr>
      <w:r w:rsidRPr="00297AD6">
        <w:rPr>
          <w:rFonts w:ascii="Arial" w:hAnsi="Arial" w:cs="Arial"/>
        </w:rPr>
        <w:t xml:space="preserve">En 2018, la Universidad La Salle México reportó en la Asociación Nacional de Universidades e Instituciones de Educación Superior ANUIES, una matrícula de 36 residentes, de forma que a nivel nacional y considerando los sectores público y privado, tiene un porcentaje de participación en la formación de Pediatras de 2.53. En el caso de solo considerar el sector privado, su participación asciende al 29.03% a nivel nacional. </w:t>
      </w:r>
    </w:p>
    <w:p w:rsidR="0059049D" w:rsidRDefault="0059049D" w:rsidP="001D5556">
      <w:pPr>
        <w:spacing w:after="240" w:line="360" w:lineRule="auto"/>
        <w:jc w:val="both"/>
        <w:rPr>
          <w:rFonts w:ascii="Arial" w:hAnsi="Arial" w:cs="Arial"/>
        </w:rPr>
      </w:pPr>
      <w:r w:rsidRPr="00297AD6">
        <w:rPr>
          <w:rFonts w:ascii="Arial" w:hAnsi="Arial" w:cs="Arial"/>
        </w:rPr>
        <w:t>Respecto al Ingreso de las cuatro universidades (Universidad La Salle, Instituto Tecnológico y de Estudios Superiores de Monterrey, Universidad Autónoma de Guadalajara y Universidad de Monter</w:t>
      </w:r>
      <w:r>
        <w:rPr>
          <w:rFonts w:ascii="Arial" w:hAnsi="Arial" w:cs="Arial"/>
        </w:rPr>
        <w:t>rey), se observa en la Gráfica 36</w:t>
      </w:r>
      <w:r w:rsidRPr="00297AD6">
        <w:rPr>
          <w:rFonts w:ascii="Arial" w:hAnsi="Arial" w:cs="Arial"/>
        </w:rPr>
        <w:t>, que la IES que cuenta con mayor demanda de Ingreso es la Universidad de Monterrey, seguido del Instituto Tecnológico y de Estudios Superiores de Monterrey y la Universidad La Salle.</w:t>
      </w:r>
    </w:p>
    <w:p w:rsidR="0059049D" w:rsidRPr="00297AD6" w:rsidRDefault="0059049D" w:rsidP="0059049D">
      <w:pPr>
        <w:pStyle w:val="Sinespaciado"/>
        <w:jc w:val="center"/>
        <w:rPr>
          <w:rFonts w:ascii="Arial" w:hAnsi="Arial" w:cs="Arial"/>
          <w:b/>
        </w:rPr>
      </w:pPr>
      <w:r>
        <w:rPr>
          <w:rFonts w:ascii="Arial" w:hAnsi="Arial" w:cs="Arial"/>
          <w:b/>
        </w:rPr>
        <w:t xml:space="preserve">Gráfica </w:t>
      </w:r>
      <w:r w:rsidR="00023DD3">
        <w:rPr>
          <w:rFonts w:ascii="Arial" w:hAnsi="Arial" w:cs="Arial"/>
          <w:b/>
        </w:rPr>
        <w:t>14</w:t>
      </w:r>
      <w:r w:rsidRPr="00297AD6">
        <w:rPr>
          <w:rFonts w:ascii="Arial" w:hAnsi="Arial" w:cs="Arial"/>
          <w:b/>
        </w:rPr>
        <w:t>. Evolución del Ingreso de las 4 IES privadas que ofertan la Especialidad en Pediatría a nivel nacional de 2014 a 2018.</w:t>
      </w:r>
    </w:p>
    <w:p w:rsidR="0059049D" w:rsidRPr="00023DD3" w:rsidRDefault="0059049D" w:rsidP="0059049D">
      <w:pPr>
        <w:pStyle w:val="Sinespaciado"/>
        <w:jc w:val="both"/>
        <w:rPr>
          <w:rFonts w:ascii="Arial" w:hAnsi="Arial" w:cs="Arial"/>
        </w:rPr>
      </w:pPr>
      <w:r>
        <w:rPr>
          <w:noProof/>
          <w:lang w:eastAsia="es-MX"/>
        </w:rPr>
        <w:drawing>
          <wp:anchor distT="0" distB="0" distL="114300" distR="114300" simplePos="0" relativeHeight="251663360" behindDoc="0" locked="0" layoutInCell="1" allowOverlap="1" wp14:anchorId="46B8433C" wp14:editId="25F82CD7">
            <wp:simplePos x="0" y="0"/>
            <wp:positionH relativeFrom="margin">
              <wp:posOffset>817676</wp:posOffset>
            </wp:positionH>
            <wp:positionV relativeFrom="paragraph">
              <wp:posOffset>72942</wp:posOffset>
            </wp:positionV>
            <wp:extent cx="4011283" cy="1656272"/>
            <wp:effectExtent l="0" t="0" r="8890" b="1270"/>
            <wp:wrapNone/>
            <wp:docPr id="53" name="Gráfico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023DD3" w:rsidRPr="00023DD3" w:rsidRDefault="00023DD3" w:rsidP="0059049D">
      <w:pPr>
        <w:pStyle w:val="Sinespaciado"/>
        <w:jc w:val="both"/>
        <w:rPr>
          <w:rFonts w:ascii="Arial" w:hAnsi="Arial" w:cs="Arial"/>
        </w:rPr>
      </w:pPr>
    </w:p>
    <w:p w:rsidR="0059049D" w:rsidRDefault="0059049D" w:rsidP="0059049D">
      <w:pPr>
        <w:pStyle w:val="Sinespaciado"/>
        <w:jc w:val="both"/>
        <w:rPr>
          <w:rFonts w:ascii="Arial" w:hAnsi="Arial" w:cs="Arial"/>
        </w:rPr>
      </w:pPr>
    </w:p>
    <w:p w:rsidR="00023DD3" w:rsidRDefault="00023DD3" w:rsidP="0059049D">
      <w:pPr>
        <w:pStyle w:val="Sinespaciado"/>
        <w:jc w:val="both"/>
        <w:rPr>
          <w:rFonts w:ascii="Arial" w:hAnsi="Arial" w:cs="Arial"/>
        </w:rPr>
      </w:pPr>
    </w:p>
    <w:p w:rsidR="00023DD3" w:rsidRPr="00023DD3" w:rsidRDefault="00023DD3" w:rsidP="0059049D">
      <w:pPr>
        <w:pStyle w:val="Sinespaciado"/>
        <w:jc w:val="both"/>
        <w:rPr>
          <w:rFonts w:ascii="Arial" w:hAnsi="Arial" w:cs="Arial"/>
        </w:rPr>
      </w:pPr>
    </w:p>
    <w:p w:rsidR="0059049D" w:rsidRPr="00297AD6" w:rsidRDefault="0059049D" w:rsidP="0059049D">
      <w:pPr>
        <w:pStyle w:val="Sinespaciado"/>
        <w:jc w:val="center"/>
        <w:rPr>
          <w:rFonts w:ascii="Arial" w:hAnsi="Arial" w:cs="Arial"/>
          <w:sz w:val="18"/>
        </w:rPr>
      </w:pPr>
      <w:r w:rsidRPr="00297AD6">
        <w:rPr>
          <w:rFonts w:ascii="Arial" w:hAnsi="Arial" w:cs="Arial"/>
          <w:b/>
          <w:sz w:val="18"/>
        </w:rPr>
        <w:t>Fuente:</w:t>
      </w:r>
      <w:r w:rsidRPr="00297AD6">
        <w:rPr>
          <w:rFonts w:ascii="Arial" w:hAnsi="Arial" w:cs="Arial"/>
          <w:sz w:val="18"/>
        </w:rPr>
        <w:t xml:space="preserve"> Elaboración propia con base en ANUIES 2014 a 2018.</w:t>
      </w:r>
    </w:p>
    <w:p w:rsidR="0059049D" w:rsidRPr="00023DD3" w:rsidRDefault="0059049D" w:rsidP="001D5556">
      <w:pPr>
        <w:pStyle w:val="Sinespaciado"/>
        <w:spacing w:after="240" w:line="360" w:lineRule="auto"/>
        <w:jc w:val="both"/>
        <w:rPr>
          <w:rFonts w:ascii="Arial" w:hAnsi="Arial" w:cs="Arial"/>
        </w:rPr>
      </w:pPr>
      <w:r w:rsidRPr="00023DD3">
        <w:rPr>
          <w:rFonts w:ascii="Arial" w:hAnsi="Arial" w:cs="Arial"/>
        </w:rPr>
        <w:lastRenderedPageBreak/>
        <w:t xml:space="preserve">En cuando a los datos de Matrícula la Gráfica </w:t>
      </w:r>
      <w:r w:rsidR="00023DD3">
        <w:rPr>
          <w:rFonts w:ascii="Arial" w:hAnsi="Arial" w:cs="Arial"/>
        </w:rPr>
        <w:t>15</w:t>
      </w:r>
      <w:r w:rsidRPr="00023DD3">
        <w:rPr>
          <w:rFonts w:ascii="Arial" w:hAnsi="Arial" w:cs="Arial"/>
        </w:rPr>
        <w:t xml:space="preserve">, nos muestra que las IES guardan el mismo orden anterior en cuanto a datos se refiere. </w:t>
      </w:r>
    </w:p>
    <w:p w:rsidR="0059049D" w:rsidRPr="00297AD6" w:rsidRDefault="0059049D" w:rsidP="0059049D">
      <w:pPr>
        <w:pStyle w:val="Sinespaciado"/>
        <w:jc w:val="center"/>
        <w:rPr>
          <w:rFonts w:ascii="Arial" w:hAnsi="Arial" w:cs="Arial"/>
        </w:rPr>
      </w:pPr>
      <w:r w:rsidRPr="00297AD6">
        <w:rPr>
          <w:rFonts w:ascii="Arial" w:hAnsi="Arial" w:cs="Arial"/>
          <w:b/>
        </w:rPr>
        <w:t xml:space="preserve">Gráfica </w:t>
      </w:r>
      <w:r w:rsidR="00023DD3">
        <w:rPr>
          <w:rFonts w:ascii="Arial" w:hAnsi="Arial" w:cs="Arial"/>
          <w:b/>
        </w:rPr>
        <w:t>15</w:t>
      </w:r>
      <w:r w:rsidRPr="00297AD6">
        <w:rPr>
          <w:rFonts w:ascii="Arial" w:hAnsi="Arial" w:cs="Arial"/>
          <w:b/>
        </w:rPr>
        <w:t>. Evolución de la Matrícula de las 4 IES privadas que ofertan la Especialidad en Pediatría a nivel nacional de 2014 a 2018.</w:t>
      </w:r>
    </w:p>
    <w:p w:rsidR="0059049D" w:rsidRPr="00023DD3" w:rsidRDefault="0059049D" w:rsidP="0059049D">
      <w:pPr>
        <w:pStyle w:val="Sinespaciado"/>
        <w:jc w:val="both"/>
        <w:rPr>
          <w:rFonts w:ascii="Arial" w:hAnsi="Arial" w:cs="Arial"/>
        </w:rPr>
      </w:pPr>
    </w:p>
    <w:p w:rsidR="0059049D" w:rsidRPr="00023DD3" w:rsidRDefault="00930CBC" w:rsidP="0059049D">
      <w:pPr>
        <w:pStyle w:val="Sinespaciado"/>
        <w:jc w:val="both"/>
        <w:rPr>
          <w:rFonts w:ascii="Arial" w:hAnsi="Arial" w:cs="Arial"/>
        </w:rPr>
      </w:pPr>
      <w:r w:rsidRPr="00297AD6">
        <w:rPr>
          <w:rFonts w:ascii="Arial" w:hAnsi="Arial" w:cs="Arial"/>
          <w:noProof/>
          <w:lang w:eastAsia="es-MX"/>
        </w:rPr>
        <w:drawing>
          <wp:anchor distT="0" distB="0" distL="114300" distR="114300" simplePos="0" relativeHeight="251664384" behindDoc="0" locked="0" layoutInCell="1" allowOverlap="1" wp14:anchorId="3CDCF7FE" wp14:editId="0422947B">
            <wp:simplePos x="0" y="0"/>
            <wp:positionH relativeFrom="margin">
              <wp:align>center</wp:align>
            </wp:positionH>
            <wp:positionV relativeFrom="paragraph">
              <wp:posOffset>3683</wp:posOffset>
            </wp:positionV>
            <wp:extent cx="4297680" cy="2203704"/>
            <wp:effectExtent l="0" t="0" r="7620" b="6350"/>
            <wp:wrapNone/>
            <wp:docPr id="54" name="Gráfico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Default="0059049D" w:rsidP="0059049D">
      <w:pPr>
        <w:pStyle w:val="Sinespaciado"/>
        <w:jc w:val="both"/>
        <w:rPr>
          <w:rFonts w:ascii="Arial" w:hAnsi="Arial" w:cs="Arial"/>
        </w:rPr>
      </w:pPr>
    </w:p>
    <w:p w:rsidR="00023DD3" w:rsidRDefault="00023DD3" w:rsidP="0059049D">
      <w:pPr>
        <w:pStyle w:val="Sinespaciado"/>
        <w:jc w:val="both"/>
        <w:rPr>
          <w:rFonts w:ascii="Arial" w:hAnsi="Arial" w:cs="Arial"/>
        </w:rPr>
      </w:pPr>
    </w:p>
    <w:p w:rsidR="00023DD3" w:rsidRDefault="00023DD3" w:rsidP="0059049D">
      <w:pPr>
        <w:pStyle w:val="Sinespaciado"/>
        <w:jc w:val="both"/>
        <w:rPr>
          <w:rFonts w:ascii="Arial" w:hAnsi="Arial" w:cs="Arial"/>
        </w:rPr>
      </w:pPr>
    </w:p>
    <w:p w:rsidR="00023DD3" w:rsidRDefault="00023DD3" w:rsidP="0059049D">
      <w:pPr>
        <w:pStyle w:val="Sinespaciado"/>
        <w:jc w:val="both"/>
        <w:rPr>
          <w:rFonts w:ascii="Arial" w:hAnsi="Arial" w:cs="Arial"/>
        </w:rPr>
      </w:pPr>
    </w:p>
    <w:p w:rsidR="00930CBC" w:rsidRDefault="00930CBC" w:rsidP="0059049D">
      <w:pPr>
        <w:pStyle w:val="Sinespaciado"/>
        <w:jc w:val="both"/>
        <w:rPr>
          <w:rFonts w:ascii="Arial" w:hAnsi="Arial" w:cs="Arial"/>
        </w:rPr>
      </w:pPr>
    </w:p>
    <w:p w:rsidR="00930CBC" w:rsidRDefault="00930CBC" w:rsidP="0059049D">
      <w:pPr>
        <w:pStyle w:val="Sinespaciado"/>
        <w:jc w:val="both"/>
        <w:rPr>
          <w:rFonts w:ascii="Arial" w:hAnsi="Arial" w:cs="Arial"/>
        </w:rPr>
      </w:pPr>
    </w:p>
    <w:p w:rsidR="00930CBC" w:rsidRDefault="00930CBC" w:rsidP="0059049D">
      <w:pPr>
        <w:pStyle w:val="Sinespaciado"/>
        <w:jc w:val="both"/>
        <w:rPr>
          <w:rFonts w:ascii="Arial" w:hAnsi="Arial" w:cs="Arial"/>
        </w:rPr>
      </w:pPr>
    </w:p>
    <w:p w:rsidR="00930CBC" w:rsidRPr="00023DD3" w:rsidRDefault="00930CBC"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023DD3" w:rsidRDefault="0059049D" w:rsidP="0059049D">
      <w:pPr>
        <w:pStyle w:val="Sinespaciado"/>
        <w:jc w:val="both"/>
        <w:rPr>
          <w:rFonts w:ascii="Arial" w:hAnsi="Arial" w:cs="Arial"/>
        </w:rPr>
      </w:pPr>
    </w:p>
    <w:p w:rsidR="0059049D" w:rsidRPr="00297AD6" w:rsidRDefault="0059049D" w:rsidP="0059049D">
      <w:pPr>
        <w:pStyle w:val="Sinespaciado"/>
        <w:jc w:val="center"/>
        <w:rPr>
          <w:rFonts w:ascii="Arial" w:hAnsi="Arial" w:cs="Arial"/>
          <w:sz w:val="18"/>
        </w:rPr>
      </w:pPr>
      <w:r w:rsidRPr="00297AD6">
        <w:rPr>
          <w:rFonts w:ascii="Arial" w:hAnsi="Arial" w:cs="Arial"/>
          <w:b/>
          <w:sz w:val="18"/>
        </w:rPr>
        <w:t>Fuente:</w:t>
      </w:r>
      <w:r w:rsidRPr="00297AD6">
        <w:rPr>
          <w:rFonts w:ascii="Arial" w:hAnsi="Arial" w:cs="Arial"/>
          <w:sz w:val="18"/>
        </w:rPr>
        <w:t xml:space="preserve"> Elaboración propia con base en ANUIES 2014 a 2018.</w:t>
      </w:r>
    </w:p>
    <w:p w:rsidR="0059049D" w:rsidRDefault="0059049D" w:rsidP="0059049D">
      <w:pPr>
        <w:pStyle w:val="Sinespaciado"/>
        <w:jc w:val="both"/>
        <w:rPr>
          <w:rFonts w:ascii="Indivisa Text Sans" w:hAnsi="Indivisa Text Sans"/>
        </w:rPr>
      </w:pPr>
    </w:p>
    <w:p w:rsidR="0059049D" w:rsidRPr="00297AD6" w:rsidRDefault="0059049D" w:rsidP="001D5556">
      <w:pPr>
        <w:pStyle w:val="Sinespaciado"/>
        <w:spacing w:after="240" w:line="360" w:lineRule="auto"/>
        <w:jc w:val="both"/>
        <w:rPr>
          <w:rFonts w:ascii="Arial" w:hAnsi="Arial" w:cs="Arial"/>
        </w:rPr>
      </w:pPr>
      <w:r w:rsidRPr="00297AD6">
        <w:rPr>
          <w:rFonts w:ascii="Arial" w:hAnsi="Arial" w:cs="Arial"/>
        </w:rPr>
        <w:t>Por ú</w:t>
      </w:r>
      <w:r>
        <w:rPr>
          <w:rFonts w:ascii="Arial" w:hAnsi="Arial" w:cs="Arial"/>
        </w:rPr>
        <w:t xml:space="preserve">ltimo, en el Egreso la Gráfica </w:t>
      </w:r>
      <w:r w:rsidR="00023DD3">
        <w:rPr>
          <w:rFonts w:ascii="Arial" w:hAnsi="Arial" w:cs="Arial"/>
        </w:rPr>
        <w:t>16</w:t>
      </w:r>
      <w:r w:rsidRPr="00297AD6">
        <w:rPr>
          <w:rFonts w:ascii="Arial" w:hAnsi="Arial" w:cs="Arial"/>
        </w:rPr>
        <w:t xml:space="preserve">, nos indica que las Universidades que reportan mayores datos de Egreso son la Universidad de Monterrey, seguida de la Universidad La Salle y el Instituto Tecnológico y de Estudios Superiores de Monterrey. </w:t>
      </w:r>
    </w:p>
    <w:p w:rsidR="0059049D" w:rsidRDefault="00023DD3" w:rsidP="0059049D">
      <w:pPr>
        <w:pStyle w:val="Sinespaciado"/>
        <w:jc w:val="center"/>
        <w:rPr>
          <w:rFonts w:ascii="Indivisa Text Sans" w:hAnsi="Indivisa Text Sans"/>
        </w:rPr>
      </w:pPr>
      <w:r>
        <w:rPr>
          <w:rFonts w:ascii="Indivisa Text Sans" w:hAnsi="Indivisa Text Sans"/>
          <w:b/>
        </w:rPr>
        <w:t>Gráfica16</w:t>
      </w:r>
      <w:r w:rsidR="00C70C26">
        <w:rPr>
          <w:rFonts w:ascii="Indivisa Text Sans" w:hAnsi="Indivisa Text Sans"/>
          <w:b/>
        </w:rPr>
        <w:t>.</w:t>
      </w:r>
      <w:r w:rsidR="0059049D" w:rsidRPr="00B717FF">
        <w:rPr>
          <w:rFonts w:ascii="Indivisa Text Sans" w:hAnsi="Indivisa Text Sans"/>
          <w:b/>
        </w:rPr>
        <w:t xml:space="preserve"> Evolución de</w:t>
      </w:r>
      <w:r w:rsidR="0059049D">
        <w:rPr>
          <w:rFonts w:ascii="Indivisa Text Sans" w:hAnsi="Indivisa Text Sans"/>
          <w:b/>
        </w:rPr>
        <w:t xml:space="preserve">l Egreso de las 4 </w:t>
      </w:r>
      <w:r w:rsidR="0059049D" w:rsidRPr="00B717FF">
        <w:rPr>
          <w:rFonts w:ascii="Indivisa Text Sans" w:hAnsi="Indivisa Text Sans"/>
          <w:b/>
        </w:rPr>
        <w:t xml:space="preserve">IES </w:t>
      </w:r>
      <w:r w:rsidR="0059049D">
        <w:rPr>
          <w:rFonts w:ascii="Indivisa Text Sans" w:hAnsi="Indivisa Text Sans"/>
          <w:b/>
        </w:rPr>
        <w:t xml:space="preserve">privadas </w:t>
      </w:r>
      <w:r w:rsidR="0059049D" w:rsidRPr="00B717FF">
        <w:rPr>
          <w:rFonts w:ascii="Indivisa Text Sans" w:hAnsi="Indivisa Text Sans"/>
          <w:b/>
        </w:rPr>
        <w:t>que ofertan la Especialidad en Pediatría a nivel nacional de</w:t>
      </w:r>
      <w:r w:rsidR="0059049D">
        <w:rPr>
          <w:rFonts w:ascii="Indivisa Text Sans" w:hAnsi="Indivisa Text Sans"/>
          <w:b/>
        </w:rPr>
        <w:t xml:space="preserve"> 2</w:t>
      </w:r>
      <w:r w:rsidR="0059049D" w:rsidRPr="00B717FF">
        <w:rPr>
          <w:rFonts w:ascii="Indivisa Text Sans" w:hAnsi="Indivisa Text Sans"/>
          <w:b/>
        </w:rPr>
        <w:t>014 a 2018</w:t>
      </w:r>
      <w:r w:rsidR="0059049D">
        <w:rPr>
          <w:rFonts w:ascii="Indivisa Text Sans" w:hAnsi="Indivisa Text Sans"/>
          <w:b/>
        </w:rPr>
        <w:t>.</w:t>
      </w:r>
    </w:p>
    <w:p w:rsidR="0059049D" w:rsidRDefault="0059049D" w:rsidP="0059049D">
      <w:pPr>
        <w:pStyle w:val="Sinespaciado"/>
        <w:jc w:val="both"/>
        <w:rPr>
          <w:rFonts w:ascii="Indivisa Text Sans" w:hAnsi="Indivisa Text Sans"/>
        </w:rPr>
      </w:pPr>
    </w:p>
    <w:p w:rsidR="0059049D" w:rsidRDefault="00930CBC" w:rsidP="0059049D">
      <w:pPr>
        <w:pStyle w:val="Sinespaciado"/>
        <w:jc w:val="both"/>
        <w:rPr>
          <w:rFonts w:ascii="Indivisa Text Sans" w:hAnsi="Indivisa Text Sans"/>
        </w:rPr>
      </w:pPr>
      <w:r>
        <w:rPr>
          <w:noProof/>
          <w:lang w:eastAsia="es-MX"/>
        </w:rPr>
        <w:drawing>
          <wp:anchor distT="0" distB="0" distL="114300" distR="114300" simplePos="0" relativeHeight="251665408" behindDoc="0" locked="0" layoutInCell="1" allowOverlap="1" wp14:anchorId="3DA6F7EB" wp14:editId="4981C5EA">
            <wp:simplePos x="0" y="0"/>
            <wp:positionH relativeFrom="margin">
              <wp:align>center</wp:align>
            </wp:positionH>
            <wp:positionV relativeFrom="paragraph">
              <wp:posOffset>8890</wp:posOffset>
            </wp:positionV>
            <wp:extent cx="4752975" cy="2466975"/>
            <wp:effectExtent l="0" t="0" r="9525" b="9525"/>
            <wp:wrapNone/>
            <wp:docPr id="55" name="Gráfico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59049D" w:rsidRDefault="0059049D" w:rsidP="0059049D">
      <w:pPr>
        <w:pStyle w:val="Sinespaciado"/>
        <w:jc w:val="both"/>
        <w:rPr>
          <w:rFonts w:ascii="Indivisa Text Sans" w:hAnsi="Indivisa Text Sans"/>
        </w:rPr>
      </w:pPr>
    </w:p>
    <w:p w:rsidR="00930CBC" w:rsidRDefault="00930CBC" w:rsidP="0059049D">
      <w:pPr>
        <w:pStyle w:val="Sinespaciado"/>
        <w:jc w:val="center"/>
        <w:rPr>
          <w:rFonts w:ascii="Arial" w:hAnsi="Arial" w:cs="Arial"/>
          <w:b/>
          <w:sz w:val="18"/>
        </w:rPr>
      </w:pPr>
    </w:p>
    <w:p w:rsidR="00930CBC" w:rsidRDefault="00930CBC" w:rsidP="0059049D">
      <w:pPr>
        <w:pStyle w:val="Sinespaciado"/>
        <w:jc w:val="center"/>
        <w:rPr>
          <w:rFonts w:ascii="Arial" w:hAnsi="Arial" w:cs="Arial"/>
          <w:b/>
          <w:sz w:val="18"/>
        </w:rPr>
      </w:pPr>
    </w:p>
    <w:p w:rsidR="00930CBC" w:rsidRDefault="00930CBC" w:rsidP="0059049D">
      <w:pPr>
        <w:pStyle w:val="Sinespaciado"/>
        <w:jc w:val="center"/>
        <w:rPr>
          <w:rFonts w:ascii="Arial" w:hAnsi="Arial" w:cs="Arial"/>
          <w:b/>
          <w:sz w:val="18"/>
        </w:rPr>
      </w:pPr>
    </w:p>
    <w:p w:rsidR="00930CBC" w:rsidRDefault="00930CBC" w:rsidP="0059049D">
      <w:pPr>
        <w:pStyle w:val="Sinespaciado"/>
        <w:jc w:val="center"/>
        <w:rPr>
          <w:rFonts w:ascii="Arial" w:hAnsi="Arial" w:cs="Arial"/>
          <w:b/>
          <w:sz w:val="18"/>
        </w:rPr>
      </w:pPr>
    </w:p>
    <w:p w:rsidR="00930CBC" w:rsidRDefault="00930CBC" w:rsidP="0059049D">
      <w:pPr>
        <w:pStyle w:val="Sinespaciado"/>
        <w:jc w:val="center"/>
        <w:rPr>
          <w:rFonts w:ascii="Arial" w:hAnsi="Arial" w:cs="Arial"/>
          <w:b/>
          <w:sz w:val="18"/>
        </w:rPr>
      </w:pPr>
    </w:p>
    <w:p w:rsidR="00930CBC" w:rsidRDefault="00930CBC" w:rsidP="0059049D">
      <w:pPr>
        <w:pStyle w:val="Sinespaciado"/>
        <w:jc w:val="center"/>
        <w:rPr>
          <w:rFonts w:ascii="Arial" w:hAnsi="Arial" w:cs="Arial"/>
          <w:b/>
          <w:sz w:val="18"/>
        </w:rPr>
      </w:pPr>
    </w:p>
    <w:p w:rsidR="0059049D" w:rsidRPr="00297AD6" w:rsidRDefault="0059049D" w:rsidP="0059049D">
      <w:pPr>
        <w:pStyle w:val="Sinespaciado"/>
        <w:jc w:val="center"/>
        <w:rPr>
          <w:rFonts w:ascii="Arial" w:hAnsi="Arial" w:cs="Arial"/>
          <w:sz w:val="18"/>
        </w:rPr>
      </w:pPr>
      <w:r w:rsidRPr="00297AD6">
        <w:rPr>
          <w:rFonts w:ascii="Arial" w:hAnsi="Arial" w:cs="Arial"/>
          <w:b/>
          <w:sz w:val="18"/>
        </w:rPr>
        <w:t>Fuente:</w:t>
      </w:r>
      <w:r w:rsidRPr="00297AD6">
        <w:rPr>
          <w:rFonts w:ascii="Arial" w:hAnsi="Arial" w:cs="Arial"/>
          <w:sz w:val="18"/>
        </w:rPr>
        <w:t xml:space="preserve"> Elaboración propia con base en ANUIES 2014 a 2018.</w:t>
      </w:r>
    </w:p>
    <w:p w:rsidR="0059049D" w:rsidRDefault="0059049D" w:rsidP="0059049D">
      <w:pPr>
        <w:pStyle w:val="Sinespaciado"/>
        <w:jc w:val="both"/>
        <w:rPr>
          <w:rFonts w:ascii="Indivisa Text Sans" w:hAnsi="Indivisa Text Sans"/>
        </w:rPr>
      </w:pPr>
    </w:p>
    <w:p w:rsidR="00930CBC" w:rsidRDefault="00930CBC" w:rsidP="00932F11">
      <w:pPr>
        <w:pStyle w:val="Sinespaciado"/>
        <w:spacing w:line="360" w:lineRule="auto"/>
        <w:jc w:val="both"/>
        <w:rPr>
          <w:rFonts w:ascii="Arial" w:hAnsi="Arial" w:cs="Arial"/>
        </w:rPr>
      </w:pPr>
    </w:p>
    <w:p w:rsidR="0059049D" w:rsidRPr="00297AD6" w:rsidRDefault="0059049D" w:rsidP="00932F11">
      <w:pPr>
        <w:pStyle w:val="Sinespaciado"/>
        <w:spacing w:line="360" w:lineRule="auto"/>
        <w:jc w:val="both"/>
        <w:rPr>
          <w:rFonts w:ascii="Arial" w:hAnsi="Arial" w:cs="Arial"/>
        </w:rPr>
      </w:pPr>
      <w:r w:rsidRPr="00297AD6">
        <w:rPr>
          <w:rFonts w:ascii="Arial" w:hAnsi="Arial" w:cs="Arial"/>
        </w:rPr>
        <w:lastRenderedPageBreak/>
        <w:t>A cerca del crecimiento físico y desarrollo neuropsicomotor desde la niñez hasta la adolescencia.</w:t>
      </w:r>
    </w:p>
    <w:p w:rsidR="00930CBC" w:rsidRDefault="00930CBC" w:rsidP="001D5556">
      <w:pPr>
        <w:pStyle w:val="Sinespaciado"/>
        <w:spacing w:line="360" w:lineRule="auto"/>
        <w:jc w:val="both"/>
        <w:rPr>
          <w:rFonts w:ascii="Arial" w:hAnsi="Arial" w:cs="Arial"/>
        </w:rPr>
      </w:pPr>
    </w:p>
    <w:p w:rsidR="00C70C26" w:rsidRDefault="00C70C26" w:rsidP="001D5556">
      <w:pPr>
        <w:pStyle w:val="Sinespaciado"/>
        <w:spacing w:line="360" w:lineRule="auto"/>
        <w:jc w:val="both"/>
        <w:rPr>
          <w:rFonts w:ascii="Arial" w:hAnsi="Arial" w:cs="Arial"/>
        </w:rPr>
      </w:pPr>
      <w:r>
        <w:rPr>
          <w:rFonts w:ascii="Arial" w:hAnsi="Arial" w:cs="Arial"/>
        </w:rPr>
        <w:t xml:space="preserve">Conocimientos </w:t>
      </w:r>
    </w:p>
    <w:p w:rsidR="00930CBC" w:rsidRPr="00930CBC" w:rsidRDefault="00930CBC" w:rsidP="00930CBC">
      <w:pPr>
        <w:pStyle w:val="Sinespaciado"/>
      </w:pPr>
    </w:p>
    <w:p w:rsidR="001D5556" w:rsidRDefault="0059049D" w:rsidP="001D5556">
      <w:pPr>
        <w:pStyle w:val="Sinespaciado"/>
        <w:spacing w:line="360" w:lineRule="auto"/>
        <w:jc w:val="both"/>
        <w:rPr>
          <w:rFonts w:ascii="Arial" w:hAnsi="Arial" w:cs="Arial"/>
        </w:rPr>
      </w:pPr>
      <w:r w:rsidRPr="00297AD6">
        <w:rPr>
          <w:rFonts w:ascii="Arial" w:hAnsi="Arial" w:cs="Arial"/>
        </w:rPr>
        <w:t>De epidemiología e historia natural de las enfermedades infecciosas y de la genética en el niño, así como establecer los métodos de diagnóstico y tratamiento.</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De investigación para brindar posibles soluciones a casos propios de la especialidad.</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De anatomía, fisiología, genética, embriología, farmacología, orientada a pediatría.</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De las características biológicas, psicológicas y sociales que intervienen en la alimentación infantil y adolescente.</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De las características anatomofisiológicas y fisiopatológicas del embarazo y parto que repercuten en el feto y en el recién nacido.</w:t>
      </w:r>
    </w:p>
    <w:p w:rsidR="00930CBC" w:rsidRDefault="00930CBC" w:rsidP="001D5556">
      <w:pPr>
        <w:pStyle w:val="Sinespaciado"/>
        <w:spacing w:after="240" w:line="360" w:lineRule="auto"/>
        <w:jc w:val="both"/>
        <w:rPr>
          <w:rFonts w:ascii="Arial" w:hAnsi="Arial" w:cs="Arial"/>
        </w:rPr>
      </w:pPr>
    </w:p>
    <w:p w:rsidR="0059049D" w:rsidRPr="00297AD6" w:rsidRDefault="0059049D" w:rsidP="001D5556">
      <w:pPr>
        <w:pStyle w:val="Sinespaciado"/>
        <w:spacing w:after="240" w:line="360" w:lineRule="auto"/>
        <w:jc w:val="both"/>
        <w:rPr>
          <w:rFonts w:ascii="Arial" w:hAnsi="Arial" w:cs="Arial"/>
        </w:rPr>
      </w:pPr>
      <w:r w:rsidRPr="00297AD6">
        <w:rPr>
          <w:rFonts w:ascii="Arial" w:hAnsi="Arial" w:cs="Arial"/>
        </w:rPr>
        <w:t xml:space="preserve">Habilidades </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Para la solución de los problemas pediátricos en su quehacer diario, vigilando siempre el continuo desarrollo de ellas, así como la adquisición de los nuevos acordes con los avances científicos y tecnológicos, siempre en beneficio de su paciente.</w:t>
      </w:r>
    </w:p>
    <w:p w:rsidR="00C70C26" w:rsidRDefault="00C70C26" w:rsidP="001D5556">
      <w:pPr>
        <w:pStyle w:val="Sinespaciado"/>
        <w:spacing w:after="240" w:line="360" w:lineRule="auto"/>
        <w:jc w:val="both"/>
        <w:rPr>
          <w:rFonts w:ascii="Arial" w:hAnsi="Arial" w:cs="Arial"/>
        </w:rPr>
      </w:pPr>
    </w:p>
    <w:p w:rsidR="0059049D" w:rsidRPr="00297AD6" w:rsidRDefault="0059049D" w:rsidP="001D5556">
      <w:pPr>
        <w:pStyle w:val="Sinespaciado"/>
        <w:spacing w:after="240" w:line="360" w:lineRule="auto"/>
        <w:jc w:val="both"/>
        <w:rPr>
          <w:rFonts w:ascii="Arial" w:hAnsi="Arial" w:cs="Arial"/>
        </w:rPr>
      </w:pPr>
      <w:r w:rsidRPr="00297AD6">
        <w:rPr>
          <w:rFonts w:ascii="Arial" w:hAnsi="Arial" w:cs="Arial"/>
        </w:rPr>
        <w:t>Actitudes</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De cuidado médico en la prevención, diagnóstico y tratamiento de las patologías en el servicio de urgencias y de terapia intensiva.</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Para contribuir en acciones de educación para la salud dirigidas a los pacientes y grupo sociales.</w:t>
      </w:r>
    </w:p>
    <w:p w:rsidR="0059049D" w:rsidRPr="00297AD6" w:rsidRDefault="0059049D" w:rsidP="001D5556">
      <w:pPr>
        <w:pStyle w:val="Sinespaciado"/>
        <w:spacing w:line="360" w:lineRule="auto"/>
        <w:jc w:val="both"/>
        <w:rPr>
          <w:rFonts w:ascii="Arial" w:hAnsi="Arial" w:cs="Arial"/>
        </w:rPr>
      </w:pPr>
      <w:r w:rsidRPr="00297AD6">
        <w:rPr>
          <w:rFonts w:ascii="Arial" w:hAnsi="Arial" w:cs="Arial"/>
        </w:rPr>
        <w:t>Para participar en el desarrollo de proyectos de investigación médica orientados hacia la búsqueda de nueva información que le permita dar solución de problemas significativos d</w:t>
      </w:r>
      <w:r w:rsidR="00932F11">
        <w:rPr>
          <w:rFonts w:ascii="Arial" w:hAnsi="Arial" w:cs="Arial"/>
        </w:rPr>
        <w:t>e la especialidad en pediatría.</w:t>
      </w:r>
    </w:p>
    <w:p w:rsidR="0059049D" w:rsidRDefault="0059049D" w:rsidP="001D5556">
      <w:pPr>
        <w:pStyle w:val="Sinespaciado"/>
        <w:spacing w:line="360" w:lineRule="auto"/>
        <w:jc w:val="both"/>
        <w:rPr>
          <w:rFonts w:ascii="Arial" w:hAnsi="Arial" w:cs="Arial"/>
        </w:rPr>
      </w:pPr>
      <w:r w:rsidRPr="00297AD6">
        <w:rPr>
          <w:rFonts w:ascii="Arial" w:hAnsi="Arial" w:cs="Arial"/>
        </w:rPr>
        <w:t>Por otro lado, se realizó una recopilación de las áreas y asignaturas que componen los programas de las dos IES distintas a la Universidad La</w:t>
      </w:r>
      <w:r>
        <w:rPr>
          <w:rFonts w:ascii="Arial" w:hAnsi="Arial" w:cs="Arial"/>
        </w:rPr>
        <w:t xml:space="preserve"> Salle</w:t>
      </w:r>
      <w:r w:rsidRPr="00297AD6">
        <w:rPr>
          <w:rFonts w:ascii="Arial" w:hAnsi="Arial" w:cs="Arial"/>
        </w:rPr>
        <w:t xml:space="preserve"> </w:t>
      </w:r>
      <w:r>
        <w:rPr>
          <w:rFonts w:ascii="Arial" w:hAnsi="Arial" w:cs="Arial"/>
        </w:rPr>
        <w:t xml:space="preserve">(Cuadro </w:t>
      </w:r>
      <w:r w:rsidR="00C70C26">
        <w:rPr>
          <w:rFonts w:ascii="Arial" w:hAnsi="Arial" w:cs="Arial"/>
        </w:rPr>
        <w:t>13</w:t>
      </w:r>
      <w:r>
        <w:rPr>
          <w:rFonts w:ascii="Arial" w:hAnsi="Arial" w:cs="Arial"/>
        </w:rPr>
        <w:t>)</w:t>
      </w:r>
    </w:p>
    <w:p w:rsidR="003265DC" w:rsidRDefault="003265DC" w:rsidP="00932F11">
      <w:pPr>
        <w:pStyle w:val="Sinespaciado"/>
        <w:spacing w:line="360" w:lineRule="auto"/>
        <w:jc w:val="both"/>
        <w:rPr>
          <w:rFonts w:ascii="Arial" w:hAnsi="Arial" w:cs="Arial"/>
        </w:rPr>
      </w:pPr>
    </w:p>
    <w:p w:rsidR="00930CBC" w:rsidRDefault="00930CBC" w:rsidP="00932F11">
      <w:pPr>
        <w:pStyle w:val="Sinespaciado"/>
        <w:spacing w:line="360" w:lineRule="auto"/>
        <w:jc w:val="both"/>
        <w:rPr>
          <w:rFonts w:ascii="Arial" w:hAnsi="Arial" w:cs="Arial"/>
        </w:rPr>
      </w:pPr>
    </w:p>
    <w:p w:rsidR="00930CBC" w:rsidRDefault="00930CBC" w:rsidP="00932F11">
      <w:pPr>
        <w:pStyle w:val="Sinespaciado"/>
        <w:spacing w:line="360" w:lineRule="auto"/>
        <w:jc w:val="both"/>
        <w:rPr>
          <w:rFonts w:ascii="Arial" w:hAnsi="Arial" w:cs="Arial"/>
        </w:rPr>
      </w:pPr>
    </w:p>
    <w:p w:rsidR="00930CBC" w:rsidRDefault="00930CBC" w:rsidP="00932F11">
      <w:pPr>
        <w:pStyle w:val="Sinespaciado"/>
        <w:spacing w:line="360" w:lineRule="auto"/>
        <w:jc w:val="both"/>
        <w:rPr>
          <w:rFonts w:ascii="Arial" w:hAnsi="Arial" w:cs="Arial"/>
        </w:rPr>
      </w:pPr>
    </w:p>
    <w:p w:rsidR="0059049D" w:rsidRPr="00297AD6" w:rsidRDefault="0059049D" w:rsidP="0059049D">
      <w:pPr>
        <w:spacing w:after="0" w:line="240" w:lineRule="auto"/>
        <w:jc w:val="center"/>
        <w:rPr>
          <w:rFonts w:ascii="Arial" w:hAnsi="Arial" w:cs="Arial"/>
          <w:b/>
        </w:rPr>
      </w:pPr>
      <w:r>
        <w:rPr>
          <w:rFonts w:ascii="Arial" w:hAnsi="Arial" w:cs="Arial"/>
          <w:b/>
        </w:rPr>
        <w:t xml:space="preserve">Cuadro </w:t>
      </w:r>
      <w:r w:rsidR="00930CBC">
        <w:rPr>
          <w:rFonts w:ascii="Arial" w:hAnsi="Arial" w:cs="Arial"/>
          <w:b/>
        </w:rPr>
        <w:t>12</w:t>
      </w:r>
      <w:r w:rsidRPr="00297AD6">
        <w:rPr>
          <w:rFonts w:ascii="Arial" w:hAnsi="Arial" w:cs="Arial"/>
          <w:b/>
        </w:rPr>
        <w:t>. Áreas y asignaturas de la Especialidad en Pediatría.</w:t>
      </w:r>
    </w:p>
    <w:tbl>
      <w:tblPr>
        <w:tblStyle w:val="Tablaconcuadrcula"/>
        <w:tblW w:w="0" w:type="auto"/>
        <w:tblLook w:val="04A0" w:firstRow="1" w:lastRow="0" w:firstColumn="1" w:lastColumn="0" w:noHBand="0" w:noVBand="1"/>
      </w:tblPr>
      <w:tblGrid>
        <w:gridCol w:w="4414"/>
        <w:gridCol w:w="4414"/>
      </w:tblGrid>
      <w:tr w:rsidR="0059049D" w:rsidRPr="008C17D3" w:rsidTr="0019774F">
        <w:tc>
          <w:tcPr>
            <w:tcW w:w="4414" w:type="dxa"/>
            <w:shd w:val="clear" w:color="auto" w:fill="2E74B5" w:themeFill="accent1" w:themeFillShade="BF"/>
          </w:tcPr>
          <w:p w:rsidR="0059049D" w:rsidRPr="00C70C26" w:rsidRDefault="0059049D" w:rsidP="0019774F">
            <w:pPr>
              <w:jc w:val="center"/>
              <w:rPr>
                <w:rFonts w:ascii="Arial" w:hAnsi="Arial" w:cs="Arial"/>
                <w:b/>
                <w:color w:val="FFFFFF" w:themeColor="background1"/>
              </w:rPr>
            </w:pPr>
            <w:r w:rsidRPr="00C70C26">
              <w:rPr>
                <w:rFonts w:ascii="Arial" w:hAnsi="Arial" w:cs="Arial"/>
                <w:b/>
                <w:color w:val="FFFFFF" w:themeColor="background1"/>
              </w:rPr>
              <w:t xml:space="preserve">ÁREA </w:t>
            </w:r>
          </w:p>
        </w:tc>
        <w:tc>
          <w:tcPr>
            <w:tcW w:w="4414" w:type="dxa"/>
            <w:shd w:val="clear" w:color="auto" w:fill="2E74B5" w:themeFill="accent1" w:themeFillShade="BF"/>
          </w:tcPr>
          <w:p w:rsidR="0059049D" w:rsidRPr="00C70C26" w:rsidRDefault="0059049D" w:rsidP="0019774F">
            <w:pPr>
              <w:jc w:val="center"/>
              <w:rPr>
                <w:rFonts w:ascii="Arial" w:hAnsi="Arial" w:cs="Arial"/>
                <w:b/>
                <w:color w:val="FFFFFF" w:themeColor="background1"/>
              </w:rPr>
            </w:pPr>
            <w:r w:rsidRPr="00C70C26">
              <w:rPr>
                <w:rFonts w:ascii="Arial" w:hAnsi="Arial" w:cs="Arial"/>
                <w:b/>
                <w:color w:val="FFFFFF" w:themeColor="background1"/>
              </w:rPr>
              <w:t xml:space="preserve">ASIGNATURA </w:t>
            </w:r>
          </w:p>
        </w:tc>
      </w:tr>
      <w:tr w:rsidR="0059049D" w:rsidTr="0019774F">
        <w:tc>
          <w:tcPr>
            <w:tcW w:w="4414" w:type="dxa"/>
            <w:vAlign w:val="center"/>
          </w:tcPr>
          <w:p w:rsidR="0059049D" w:rsidRPr="00C70C26" w:rsidRDefault="0059049D" w:rsidP="0019774F">
            <w:pPr>
              <w:jc w:val="center"/>
              <w:rPr>
                <w:rFonts w:ascii="Arial" w:hAnsi="Arial" w:cs="Arial"/>
              </w:rPr>
            </w:pPr>
            <w:r w:rsidRPr="00C70C26">
              <w:rPr>
                <w:rFonts w:ascii="Arial" w:hAnsi="Arial" w:cs="Arial"/>
              </w:rPr>
              <w:t>Clínica</w:t>
            </w:r>
          </w:p>
        </w:tc>
        <w:tc>
          <w:tcPr>
            <w:tcW w:w="4414" w:type="dxa"/>
          </w:tcPr>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Atención al Paciente en Estado Crítico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Calidad en la Atención Clínica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Cardiología</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Endocrinología</w:t>
            </w:r>
          </w:p>
          <w:p w:rsidR="0059049D" w:rsidRPr="00C70C26" w:rsidRDefault="0059049D" w:rsidP="00C70C26">
            <w:pPr>
              <w:pStyle w:val="Prrafodelista"/>
              <w:numPr>
                <w:ilvl w:val="0"/>
                <w:numId w:val="10"/>
              </w:numPr>
              <w:ind w:left="433"/>
              <w:rPr>
                <w:rFonts w:ascii="Arial" w:hAnsi="Arial" w:cs="Arial"/>
              </w:rPr>
            </w:pPr>
            <w:r w:rsidRPr="00C70C26">
              <w:rPr>
                <w:rFonts w:ascii="Arial" w:hAnsi="Arial" w:cs="Arial"/>
              </w:rPr>
              <w:t xml:space="preserve">Formación Clínica </w:t>
            </w:r>
          </w:p>
        </w:tc>
      </w:tr>
      <w:tr w:rsidR="00C70C26" w:rsidTr="0019774F">
        <w:tc>
          <w:tcPr>
            <w:tcW w:w="4414" w:type="dxa"/>
            <w:vAlign w:val="center"/>
          </w:tcPr>
          <w:p w:rsidR="00C70C26" w:rsidRPr="00C70C26" w:rsidRDefault="00C70C26" w:rsidP="0019774F">
            <w:pPr>
              <w:jc w:val="center"/>
              <w:rPr>
                <w:rFonts w:ascii="Arial" w:hAnsi="Arial" w:cs="Arial"/>
              </w:rPr>
            </w:pPr>
            <w:r w:rsidRPr="00C70C26">
              <w:rPr>
                <w:rFonts w:ascii="Arial" w:hAnsi="Arial" w:cs="Arial"/>
              </w:rPr>
              <w:t>Clínica</w:t>
            </w:r>
          </w:p>
        </w:tc>
        <w:tc>
          <w:tcPr>
            <w:tcW w:w="4414" w:type="dxa"/>
          </w:tcPr>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Hematología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Neonatología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Neumología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Neurología</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Oncología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Otorrinolaringología y Oftalmología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 xml:space="preserve">Patología Pediátrica </w:t>
            </w:r>
          </w:p>
          <w:p w:rsidR="00C70C26" w:rsidRPr="00C70C26" w:rsidRDefault="00C70C26" w:rsidP="00C70C26">
            <w:pPr>
              <w:pStyle w:val="Prrafodelista"/>
              <w:numPr>
                <w:ilvl w:val="0"/>
                <w:numId w:val="10"/>
              </w:numPr>
              <w:ind w:left="433"/>
              <w:rPr>
                <w:rFonts w:ascii="Arial" w:hAnsi="Arial" w:cs="Arial"/>
              </w:rPr>
            </w:pPr>
            <w:r w:rsidRPr="00C70C26">
              <w:rPr>
                <w:rFonts w:ascii="Arial" w:hAnsi="Arial" w:cs="Arial"/>
              </w:rPr>
              <w:t>Urgencias en Pediatría</w:t>
            </w:r>
          </w:p>
        </w:tc>
      </w:tr>
      <w:tr w:rsidR="0059049D" w:rsidTr="0019774F">
        <w:tc>
          <w:tcPr>
            <w:tcW w:w="4414" w:type="dxa"/>
            <w:vAlign w:val="center"/>
          </w:tcPr>
          <w:p w:rsidR="0059049D" w:rsidRPr="00C70C26" w:rsidRDefault="0059049D" w:rsidP="0019774F">
            <w:pPr>
              <w:jc w:val="center"/>
              <w:rPr>
                <w:rFonts w:ascii="Arial" w:hAnsi="Arial" w:cs="Arial"/>
              </w:rPr>
            </w:pPr>
            <w:r w:rsidRPr="00C70C26">
              <w:rPr>
                <w:rFonts w:ascii="Arial" w:hAnsi="Arial" w:cs="Arial"/>
              </w:rPr>
              <w:t>Social</w:t>
            </w:r>
          </w:p>
        </w:tc>
        <w:tc>
          <w:tcPr>
            <w:tcW w:w="4414" w:type="dxa"/>
          </w:tcPr>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Atención Médica en Pediatría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Ética Clínica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Ética y Profesionalismo Médico</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Paidopsiquiatría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Pediatría Ambulatoria y Adolescencia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Pediatría Social </w:t>
            </w:r>
          </w:p>
        </w:tc>
      </w:tr>
      <w:tr w:rsidR="0059049D" w:rsidTr="0019774F">
        <w:tc>
          <w:tcPr>
            <w:tcW w:w="4414" w:type="dxa"/>
            <w:vAlign w:val="center"/>
          </w:tcPr>
          <w:p w:rsidR="0059049D" w:rsidRPr="00C70C26" w:rsidRDefault="0059049D" w:rsidP="0019774F">
            <w:pPr>
              <w:jc w:val="center"/>
              <w:rPr>
                <w:rFonts w:ascii="Arial" w:hAnsi="Arial" w:cs="Arial"/>
              </w:rPr>
            </w:pPr>
            <w:r w:rsidRPr="00C70C26">
              <w:rPr>
                <w:rFonts w:ascii="Arial" w:hAnsi="Arial" w:cs="Arial"/>
              </w:rPr>
              <w:t>Preventiva</w:t>
            </w:r>
          </w:p>
        </w:tc>
        <w:tc>
          <w:tcPr>
            <w:tcW w:w="4414" w:type="dxa"/>
          </w:tcPr>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Crecimiento, Desarrollo y Nutrición</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Educación en Ciencias de la Salud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Educación Médica y de la Salud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Seguridad del Paciente </w:t>
            </w:r>
          </w:p>
        </w:tc>
      </w:tr>
      <w:tr w:rsidR="0059049D" w:rsidTr="0019774F">
        <w:tc>
          <w:tcPr>
            <w:tcW w:w="4414" w:type="dxa"/>
            <w:vAlign w:val="center"/>
          </w:tcPr>
          <w:p w:rsidR="0059049D" w:rsidRPr="00C70C26" w:rsidRDefault="0059049D" w:rsidP="0019774F">
            <w:pPr>
              <w:jc w:val="center"/>
              <w:rPr>
                <w:rFonts w:ascii="Arial" w:hAnsi="Arial" w:cs="Arial"/>
              </w:rPr>
            </w:pPr>
            <w:r w:rsidRPr="00C70C26">
              <w:rPr>
                <w:rFonts w:ascii="Arial" w:hAnsi="Arial" w:cs="Arial"/>
              </w:rPr>
              <w:t>Investigación</w:t>
            </w:r>
          </w:p>
        </w:tc>
        <w:tc>
          <w:tcPr>
            <w:tcW w:w="4414" w:type="dxa"/>
          </w:tcPr>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Investigación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Métodos de Investigación e Innovación </w:t>
            </w:r>
          </w:p>
          <w:p w:rsidR="0059049D" w:rsidRPr="00C70C26" w:rsidRDefault="0059049D" w:rsidP="0059049D">
            <w:pPr>
              <w:pStyle w:val="Prrafodelista"/>
              <w:numPr>
                <w:ilvl w:val="0"/>
                <w:numId w:val="10"/>
              </w:numPr>
              <w:ind w:left="433"/>
              <w:rPr>
                <w:rFonts w:ascii="Arial" w:hAnsi="Arial" w:cs="Arial"/>
              </w:rPr>
            </w:pPr>
            <w:r w:rsidRPr="00C70C26">
              <w:rPr>
                <w:rFonts w:ascii="Arial" w:hAnsi="Arial" w:cs="Arial"/>
              </w:rPr>
              <w:t xml:space="preserve">Proyecto de Tesis </w:t>
            </w:r>
          </w:p>
        </w:tc>
      </w:tr>
    </w:tbl>
    <w:p w:rsidR="0059049D" w:rsidRPr="00297AD6" w:rsidRDefault="0059049D" w:rsidP="0059049D">
      <w:pPr>
        <w:pStyle w:val="Sinespaciado"/>
        <w:jc w:val="center"/>
        <w:rPr>
          <w:rFonts w:ascii="Arial" w:hAnsi="Arial" w:cs="Arial"/>
          <w:sz w:val="18"/>
        </w:rPr>
      </w:pPr>
      <w:r w:rsidRPr="00297AD6">
        <w:rPr>
          <w:rFonts w:ascii="Arial" w:hAnsi="Arial" w:cs="Arial"/>
          <w:b/>
          <w:sz w:val="18"/>
        </w:rPr>
        <w:t>Fuente:</w:t>
      </w:r>
      <w:r w:rsidRPr="00297AD6">
        <w:rPr>
          <w:rFonts w:ascii="Arial" w:hAnsi="Arial" w:cs="Arial"/>
          <w:sz w:val="18"/>
        </w:rPr>
        <w:t xml:space="preserve"> Elaboración propia con base en datos de la Web.</w:t>
      </w:r>
    </w:p>
    <w:p w:rsidR="00023ADA" w:rsidRDefault="00023ADA" w:rsidP="0019774F">
      <w:pPr>
        <w:pStyle w:val="Default"/>
        <w:spacing w:line="360" w:lineRule="auto"/>
        <w:jc w:val="both"/>
        <w:rPr>
          <w:sz w:val="22"/>
          <w:szCs w:val="22"/>
        </w:rPr>
      </w:pPr>
    </w:p>
    <w:p w:rsidR="0019774F" w:rsidRDefault="0019774F" w:rsidP="0019774F">
      <w:pPr>
        <w:pStyle w:val="Default"/>
        <w:spacing w:line="360" w:lineRule="auto"/>
        <w:jc w:val="both"/>
        <w:rPr>
          <w:sz w:val="22"/>
          <w:szCs w:val="22"/>
        </w:rPr>
      </w:pPr>
      <w:r w:rsidRPr="0019774F">
        <w:rPr>
          <w:sz w:val="22"/>
          <w:szCs w:val="22"/>
        </w:rPr>
        <w:t xml:space="preserve">Respecto al periodo 2012 a 2018 de las dos instituciones (Hospital Español y Nuevo Sanatorio en Durango), el Ingreso tuvo un descenso del 2014 a 2016, sin embargo, en los últimos dos años se ha ido posicionando; la Matrícula se ha favorecido durante los últimos dos años y el Egreso cuenta con datos menores en comparación al 2017. La tasa de crecimiento en Ingreso es del 11%, Matrícula 27% y Egreso -1%. Gráfica </w:t>
      </w:r>
      <w:r w:rsidR="00C70C26">
        <w:rPr>
          <w:sz w:val="22"/>
          <w:szCs w:val="22"/>
        </w:rPr>
        <w:t>17</w:t>
      </w:r>
      <w:r w:rsidRPr="0019774F">
        <w:rPr>
          <w:sz w:val="22"/>
          <w:szCs w:val="22"/>
        </w:rPr>
        <w:t>.</w:t>
      </w:r>
    </w:p>
    <w:p w:rsidR="00930CBC" w:rsidRDefault="00930CBC" w:rsidP="0019774F">
      <w:pPr>
        <w:pStyle w:val="Default"/>
        <w:spacing w:line="360" w:lineRule="auto"/>
        <w:jc w:val="both"/>
        <w:rPr>
          <w:sz w:val="22"/>
          <w:szCs w:val="22"/>
        </w:rPr>
      </w:pPr>
    </w:p>
    <w:p w:rsidR="00930CBC" w:rsidRDefault="00930CBC" w:rsidP="0019774F">
      <w:pPr>
        <w:pStyle w:val="Default"/>
        <w:spacing w:line="360" w:lineRule="auto"/>
        <w:jc w:val="both"/>
        <w:rPr>
          <w:sz w:val="22"/>
          <w:szCs w:val="22"/>
        </w:rPr>
      </w:pPr>
    </w:p>
    <w:p w:rsidR="00930CBC" w:rsidRDefault="00930CBC" w:rsidP="0019774F">
      <w:pPr>
        <w:pStyle w:val="Default"/>
        <w:spacing w:line="360" w:lineRule="auto"/>
        <w:jc w:val="both"/>
        <w:rPr>
          <w:sz w:val="22"/>
          <w:szCs w:val="22"/>
        </w:rPr>
      </w:pPr>
    </w:p>
    <w:p w:rsidR="00930CBC" w:rsidRDefault="00930CBC" w:rsidP="0019774F">
      <w:pPr>
        <w:pStyle w:val="Default"/>
        <w:spacing w:line="360" w:lineRule="auto"/>
        <w:jc w:val="both"/>
        <w:rPr>
          <w:sz w:val="22"/>
          <w:szCs w:val="22"/>
        </w:rPr>
      </w:pPr>
    </w:p>
    <w:p w:rsidR="00930CBC" w:rsidRDefault="00930CBC" w:rsidP="0019774F">
      <w:pPr>
        <w:pStyle w:val="Default"/>
        <w:spacing w:line="360" w:lineRule="auto"/>
        <w:jc w:val="both"/>
        <w:rPr>
          <w:sz w:val="22"/>
          <w:szCs w:val="22"/>
        </w:rPr>
      </w:pPr>
    </w:p>
    <w:p w:rsidR="00930CBC" w:rsidRDefault="00930CBC" w:rsidP="0019774F">
      <w:pPr>
        <w:pStyle w:val="Default"/>
        <w:spacing w:line="360" w:lineRule="auto"/>
        <w:jc w:val="both"/>
        <w:rPr>
          <w:sz w:val="22"/>
          <w:szCs w:val="22"/>
        </w:rPr>
      </w:pPr>
    </w:p>
    <w:p w:rsidR="0019774F" w:rsidRPr="0019774F" w:rsidRDefault="0019774F" w:rsidP="0019774F">
      <w:pPr>
        <w:pStyle w:val="Default"/>
        <w:jc w:val="center"/>
        <w:rPr>
          <w:b/>
          <w:sz w:val="22"/>
          <w:szCs w:val="22"/>
        </w:rPr>
      </w:pPr>
      <w:r w:rsidRPr="0019774F">
        <w:rPr>
          <w:b/>
          <w:sz w:val="22"/>
          <w:szCs w:val="22"/>
        </w:rPr>
        <w:lastRenderedPageBreak/>
        <w:t xml:space="preserve">Gráfica </w:t>
      </w:r>
      <w:r w:rsidR="00C70C26">
        <w:rPr>
          <w:b/>
          <w:sz w:val="22"/>
          <w:szCs w:val="22"/>
        </w:rPr>
        <w:t>17</w:t>
      </w:r>
      <w:r w:rsidRPr="0019774F">
        <w:rPr>
          <w:b/>
          <w:sz w:val="22"/>
          <w:szCs w:val="22"/>
        </w:rPr>
        <w:t xml:space="preserve">. Evolución de Ingreso, Matrícula y Egreso de la Especialidad en </w:t>
      </w:r>
    </w:p>
    <w:p w:rsidR="0019774F" w:rsidRPr="0019774F" w:rsidRDefault="0019774F" w:rsidP="0019774F">
      <w:pPr>
        <w:pStyle w:val="Default"/>
        <w:jc w:val="center"/>
        <w:rPr>
          <w:b/>
          <w:sz w:val="22"/>
          <w:szCs w:val="22"/>
        </w:rPr>
      </w:pPr>
      <w:r w:rsidRPr="0019774F">
        <w:rPr>
          <w:b/>
          <w:sz w:val="22"/>
          <w:szCs w:val="22"/>
        </w:rPr>
        <w:t>Pediatría</w:t>
      </w:r>
      <w:r w:rsidRPr="0019774F">
        <w:rPr>
          <w:noProof/>
          <w:lang w:eastAsia="es-MX"/>
        </w:rPr>
        <w:t xml:space="preserve"> </w:t>
      </w:r>
      <w:r w:rsidRPr="0019774F">
        <w:rPr>
          <w:b/>
          <w:sz w:val="22"/>
          <w:szCs w:val="22"/>
        </w:rPr>
        <w:t>2012 a 2018.</w:t>
      </w:r>
    </w:p>
    <w:p w:rsidR="0019774F" w:rsidRPr="0019774F" w:rsidRDefault="0019774F" w:rsidP="0019774F">
      <w:pPr>
        <w:pStyle w:val="Default"/>
        <w:jc w:val="center"/>
        <w:rPr>
          <w:b/>
          <w:sz w:val="22"/>
          <w:szCs w:val="22"/>
        </w:rPr>
      </w:pPr>
      <w:r w:rsidRPr="0019774F">
        <w:rPr>
          <w:noProof/>
          <w:lang w:eastAsia="es-MX"/>
        </w:rPr>
        <w:drawing>
          <wp:anchor distT="0" distB="0" distL="114300" distR="114300" simplePos="0" relativeHeight="251667456" behindDoc="0" locked="0" layoutInCell="1" allowOverlap="1" wp14:anchorId="2ABCD875" wp14:editId="29C8BE9F">
            <wp:simplePos x="0" y="0"/>
            <wp:positionH relativeFrom="margin">
              <wp:align>center</wp:align>
            </wp:positionH>
            <wp:positionV relativeFrom="paragraph">
              <wp:posOffset>133985</wp:posOffset>
            </wp:positionV>
            <wp:extent cx="4560781" cy="2339293"/>
            <wp:effectExtent l="0" t="0" r="11430" b="4445"/>
            <wp:wrapNone/>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Pr="0019774F" w:rsidRDefault="0019774F" w:rsidP="0019774F">
      <w:pPr>
        <w:pStyle w:val="Default"/>
        <w:jc w:val="both"/>
        <w:rPr>
          <w:sz w:val="23"/>
          <w:szCs w:val="23"/>
        </w:rPr>
      </w:pPr>
    </w:p>
    <w:p w:rsidR="0019774F" w:rsidRDefault="0019774F" w:rsidP="0019774F">
      <w:pPr>
        <w:pStyle w:val="Default"/>
        <w:jc w:val="both"/>
        <w:rPr>
          <w:sz w:val="23"/>
          <w:szCs w:val="23"/>
        </w:rPr>
      </w:pPr>
    </w:p>
    <w:p w:rsidR="00C70C26" w:rsidRDefault="00C70C26" w:rsidP="0019774F">
      <w:pPr>
        <w:pStyle w:val="Default"/>
        <w:jc w:val="both"/>
        <w:rPr>
          <w:sz w:val="23"/>
          <w:szCs w:val="23"/>
        </w:rPr>
      </w:pPr>
    </w:p>
    <w:p w:rsidR="00C70C26" w:rsidRDefault="00C70C26" w:rsidP="0019774F">
      <w:pPr>
        <w:pStyle w:val="Default"/>
        <w:jc w:val="both"/>
        <w:rPr>
          <w:sz w:val="23"/>
          <w:szCs w:val="23"/>
        </w:rPr>
      </w:pPr>
    </w:p>
    <w:p w:rsidR="00C70C26" w:rsidRDefault="00C70C26" w:rsidP="0019774F">
      <w:pPr>
        <w:pStyle w:val="Default"/>
        <w:jc w:val="both"/>
        <w:rPr>
          <w:sz w:val="23"/>
          <w:szCs w:val="23"/>
        </w:rPr>
      </w:pPr>
    </w:p>
    <w:p w:rsidR="00C70C26" w:rsidRDefault="00C70C26" w:rsidP="0019774F">
      <w:pPr>
        <w:pStyle w:val="Default"/>
        <w:jc w:val="both"/>
        <w:rPr>
          <w:sz w:val="23"/>
          <w:szCs w:val="23"/>
        </w:rPr>
      </w:pPr>
    </w:p>
    <w:p w:rsidR="000D2BC9" w:rsidRDefault="000D2BC9" w:rsidP="0019774F">
      <w:pPr>
        <w:pStyle w:val="Default"/>
        <w:jc w:val="center"/>
        <w:rPr>
          <w:b/>
          <w:sz w:val="18"/>
        </w:rPr>
      </w:pPr>
    </w:p>
    <w:p w:rsidR="0019774F" w:rsidRPr="0019774F" w:rsidRDefault="0019774F" w:rsidP="0019774F">
      <w:pPr>
        <w:pStyle w:val="Default"/>
        <w:jc w:val="center"/>
        <w:rPr>
          <w:sz w:val="23"/>
          <w:szCs w:val="23"/>
        </w:rPr>
      </w:pPr>
      <w:r w:rsidRPr="00930CBC">
        <w:rPr>
          <w:b/>
          <w:sz w:val="18"/>
        </w:rPr>
        <w:t>Fuente:</w:t>
      </w:r>
      <w:r w:rsidRPr="0019774F">
        <w:rPr>
          <w:sz w:val="18"/>
        </w:rPr>
        <w:t xml:space="preserve"> Elaboración propia con base en datos de la Facultad Mexicana de Medicina 2012 a 2018.</w:t>
      </w: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0D2BC9" w:rsidRDefault="000D2BC9"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930CBC" w:rsidRDefault="00930CBC" w:rsidP="005075F2">
      <w:pPr>
        <w:pStyle w:val="Sinespaciado"/>
        <w:jc w:val="both"/>
        <w:rPr>
          <w:rFonts w:ascii="Arial" w:hAnsi="Arial" w:cs="Arial"/>
          <w:b/>
        </w:rPr>
      </w:pPr>
    </w:p>
    <w:p w:rsidR="005075F2" w:rsidRPr="00E96174" w:rsidRDefault="005075F2" w:rsidP="005075F2">
      <w:pPr>
        <w:pStyle w:val="Sinespaciado"/>
        <w:jc w:val="both"/>
        <w:rPr>
          <w:rFonts w:ascii="Arial" w:hAnsi="Arial" w:cs="Arial"/>
          <w:b/>
        </w:rPr>
      </w:pPr>
      <w:r w:rsidRPr="00E96174">
        <w:rPr>
          <w:rFonts w:ascii="Arial" w:hAnsi="Arial" w:cs="Arial"/>
          <w:b/>
        </w:rPr>
        <w:lastRenderedPageBreak/>
        <w:t>BIBLIOGRAFÍA</w:t>
      </w:r>
    </w:p>
    <w:p w:rsidR="00463636" w:rsidRDefault="00463636" w:rsidP="005075F2">
      <w:pPr>
        <w:pStyle w:val="Sinespaciado"/>
        <w:jc w:val="both"/>
        <w:rPr>
          <w:rFonts w:ascii="Arial" w:hAnsi="Arial" w:cs="Arial"/>
          <w:lang w:val="en-US"/>
        </w:rPr>
      </w:pPr>
    </w:p>
    <w:p w:rsidR="00362567" w:rsidRPr="00B95AC7" w:rsidRDefault="00362567" w:rsidP="00362567">
      <w:pPr>
        <w:pStyle w:val="Sinespaciado"/>
        <w:jc w:val="both"/>
        <w:rPr>
          <w:rFonts w:ascii="Arial" w:hAnsi="Arial" w:cs="Arial"/>
        </w:rPr>
      </w:pPr>
      <w:r w:rsidRPr="00362567">
        <w:rPr>
          <w:rFonts w:ascii="Arial" w:hAnsi="Arial" w:cs="Arial"/>
          <w:lang w:val="en-US"/>
        </w:rPr>
        <w:t xml:space="preserve">Bland, C. </w:t>
      </w:r>
      <w:r w:rsidRPr="00362567">
        <w:rPr>
          <w:rFonts w:ascii="Arial" w:hAnsi="Arial" w:cs="Arial"/>
          <w:i/>
          <w:lang w:val="en-US"/>
        </w:rPr>
        <w:t>et al.</w:t>
      </w:r>
      <w:r w:rsidRPr="00362567">
        <w:rPr>
          <w:rFonts w:ascii="Arial" w:hAnsi="Arial" w:cs="Arial"/>
          <w:lang w:val="en-US"/>
        </w:rPr>
        <w:t xml:space="preserve"> </w:t>
      </w:r>
      <w:r w:rsidRPr="00B95AC7">
        <w:rPr>
          <w:rFonts w:ascii="Arial" w:hAnsi="Arial" w:cs="Arial"/>
          <w:lang w:val="en-US"/>
        </w:rPr>
        <w:t xml:space="preserve">(1995). Determinants of primary care specialty choice: A non-statistical meta-analysis of the literature. </w:t>
      </w:r>
      <w:r w:rsidRPr="00B95AC7">
        <w:rPr>
          <w:rFonts w:ascii="Arial" w:hAnsi="Arial" w:cs="Arial"/>
          <w:i/>
        </w:rPr>
        <w:t>Acad Med</w:t>
      </w:r>
      <w:r w:rsidRPr="00B95AC7">
        <w:rPr>
          <w:rFonts w:ascii="Arial" w:hAnsi="Arial" w:cs="Arial"/>
        </w:rPr>
        <w:t xml:space="preserve">, </w:t>
      </w:r>
      <w:r w:rsidRPr="00B95AC7">
        <w:rPr>
          <w:rFonts w:ascii="Arial" w:hAnsi="Arial" w:cs="Arial"/>
          <w:i/>
        </w:rPr>
        <w:t>70</w:t>
      </w:r>
      <w:r w:rsidRPr="00B95AC7">
        <w:rPr>
          <w:rFonts w:ascii="Arial" w:hAnsi="Arial" w:cs="Arial"/>
        </w:rPr>
        <w:t>(7), 620–641.</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Cárdenas, R. (2010). Desafíos de la atención a la salud. En B. García y M. Ordorica (Coords.), </w:t>
      </w:r>
      <w:r w:rsidRPr="00B95AC7">
        <w:rPr>
          <w:rFonts w:ascii="Arial" w:hAnsi="Arial" w:cs="Arial"/>
          <w:i/>
        </w:rPr>
        <w:t>Los grandes problemas de México: Población (</w:t>
      </w:r>
      <w:r w:rsidRPr="00B95AC7">
        <w:rPr>
          <w:rFonts w:ascii="Arial" w:hAnsi="Arial" w:cs="Arial"/>
        </w:rPr>
        <w:t>pp.105-136)</w:t>
      </w:r>
      <w:r w:rsidRPr="00B95AC7">
        <w:rPr>
          <w:rFonts w:ascii="Arial" w:hAnsi="Arial" w:cs="Arial"/>
          <w:i/>
        </w:rPr>
        <w:t>.</w:t>
      </w:r>
      <w:r w:rsidRPr="00B95AC7">
        <w:rPr>
          <w:rFonts w:ascii="Arial" w:hAnsi="Arial" w:cs="Arial"/>
        </w:rPr>
        <w:t xml:space="preserve"> México: El Colegio de México.</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CONAPO (2018). </w:t>
      </w:r>
      <w:r w:rsidRPr="00B95AC7">
        <w:rPr>
          <w:rFonts w:ascii="Arial" w:hAnsi="Arial" w:cs="Arial"/>
          <w:i/>
        </w:rPr>
        <w:t>Proyecciones de población de México y de las entidades federativas 2016-2050.</w:t>
      </w:r>
      <w:r w:rsidRPr="00B95AC7">
        <w:rPr>
          <w:rFonts w:ascii="Arial" w:hAnsi="Arial" w:cs="Arial"/>
        </w:rPr>
        <w:t xml:space="preserve"> CONAPO. México. [En línea].  http://www.conapo.gob.mx. [Consulta el 1 de febrero de 2019].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Constitución Política de los Estados Unidos Mexicanos. Diario Oficial de la Federación, Ciudad de México, México, 06 de junio de 2019.</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lang w:val="en-US"/>
        </w:rPr>
      </w:pPr>
      <w:r w:rsidRPr="00B95AC7">
        <w:rPr>
          <w:rFonts w:ascii="Arial" w:hAnsi="Arial" w:cs="Arial"/>
        </w:rPr>
        <w:t xml:space="preserve">Córdoba, J. </w:t>
      </w:r>
      <w:r w:rsidRPr="00B95AC7">
        <w:rPr>
          <w:rFonts w:ascii="Arial" w:hAnsi="Arial" w:cs="Arial"/>
          <w:i/>
        </w:rPr>
        <w:t xml:space="preserve"> et al. </w:t>
      </w:r>
      <w:r w:rsidRPr="00B95AC7">
        <w:rPr>
          <w:rFonts w:ascii="Arial" w:hAnsi="Arial" w:cs="Arial"/>
        </w:rPr>
        <w:t xml:space="preserve">(2008). Las enfermedades crónicas no transmisibles en México: Sinopsis epidemiológica y prevención integral. </w:t>
      </w:r>
      <w:r w:rsidRPr="00B95AC7">
        <w:rPr>
          <w:rFonts w:ascii="Arial" w:hAnsi="Arial" w:cs="Arial"/>
          <w:i/>
          <w:lang w:val="en-US"/>
        </w:rPr>
        <w:t>Salud Pública de México</w:t>
      </w:r>
      <w:r w:rsidRPr="00B95AC7">
        <w:rPr>
          <w:rFonts w:ascii="Arial" w:hAnsi="Arial" w:cs="Arial"/>
          <w:lang w:val="en-US"/>
        </w:rPr>
        <w:t xml:space="preserve">, </w:t>
      </w:r>
      <w:r w:rsidRPr="00B95AC7">
        <w:rPr>
          <w:rFonts w:ascii="Arial" w:hAnsi="Arial" w:cs="Arial"/>
          <w:i/>
          <w:lang w:val="en-US"/>
        </w:rPr>
        <w:t>33</w:t>
      </w:r>
      <w:r w:rsidRPr="00B95AC7">
        <w:rPr>
          <w:rFonts w:ascii="Arial" w:hAnsi="Arial" w:cs="Arial"/>
          <w:lang w:val="en-US"/>
        </w:rPr>
        <w:t xml:space="preserve">(5), 448-462. </w:t>
      </w:r>
    </w:p>
    <w:p w:rsidR="00362567" w:rsidRPr="00B95AC7" w:rsidRDefault="00362567" w:rsidP="00362567">
      <w:pPr>
        <w:pStyle w:val="Sinespaciado"/>
        <w:jc w:val="both"/>
        <w:rPr>
          <w:rFonts w:ascii="Arial" w:hAnsi="Arial" w:cs="Arial"/>
          <w:lang w:val="en-US"/>
        </w:rPr>
      </w:pPr>
    </w:p>
    <w:p w:rsidR="00362567" w:rsidRPr="00B95AC7" w:rsidRDefault="00362567" w:rsidP="00362567">
      <w:pPr>
        <w:pStyle w:val="Sinespaciado"/>
        <w:jc w:val="both"/>
        <w:rPr>
          <w:rFonts w:ascii="Arial" w:hAnsi="Arial" w:cs="Arial"/>
        </w:rPr>
      </w:pPr>
      <w:r w:rsidRPr="00B95AC7">
        <w:rPr>
          <w:rFonts w:ascii="Arial" w:hAnsi="Arial" w:cs="Arial"/>
          <w:lang w:val="en-US"/>
        </w:rPr>
        <w:t xml:space="preserve">Dussault, G. y M. Franceschini (2006). Not enough there, too many here: Understanding geographical imbalances in the distribution of the health workforce. </w:t>
      </w:r>
      <w:r w:rsidRPr="00B95AC7">
        <w:rPr>
          <w:rFonts w:ascii="Arial" w:hAnsi="Arial" w:cs="Arial"/>
          <w:i/>
        </w:rPr>
        <w:t>Human Resources for Health</w:t>
      </w:r>
      <w:r w:rsidRPr="00B95AC7">
        <w:rPr>
          <w:rFonts w:ascii="Arial" w:hAnsi="Arial" w:cs="Arial"/>
        </w:rPr>
        <w:t xml:space="preserve">, </w:t>
      </w:r>
      <w:r w:rsidRPr="00B95AC7">
        <w:rPr>
          <w:rFonts w:ascii="Arial" w:hAnsi="Arial" w:cs="Arial"/>
          <w:i/>
        </w:rPr>
        <w:t>4</w:t>
      </w:r>
      <w:r w:rsidRPr="00B95AC7">
        <w:rPr>
          <w:rFonts w:ascii="Arial" w:hAnsi="Arial" w:cs="Arial"/>
        </w:rPr>
        <w:t>(12), 1-16.</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Fajardo, G. (2015). Propuesta de modelo para la formación de médicos especialistas en México. En Fajardo, G., Santacruz, J. y C. Lavalle (Coords.), </w:t>
      </w:r>
      <w:r w:rsidRPr="00B95AC7">
        <w:rPr>
          <w:rFonts w:ascii="Arial" w:hAnsi="Arial" w:cs="Arial"/>
          <w:i/>
        </w:rPr>
        <w:t>La formación de médicos especialistas en México. Documento de postura</w:t>
      </w:r>
      <w:r w:rsidRPr="00B95AC7">
        <w:rPr>
          <w:rFonts w:ascii="Arial" w:hAnsi="Arial" w:cs="Arial"/>
        </w:rPr>
        <w:t xml:space="preserve"> (pp. 187-201).  México: Academia Nacional de Medicina de México y Consejo Nacional de Ciencia y Tecnología.</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Fajardo, G. </w:t>
      </w:r>
      <w:r w:rsidRPr="00B95AC7">
        <w:rPr>
          <w:rFonts w:ascii="Arial" w:hAnsi="Arial" w:cs="Arial"/>
          <w:i/>
        </w:rPr>
        <w:t xml:space="preserve">et al. </w:t>
      </w:r>
      <w:r w:rsidRPr="00B95AC7">
        <w:rPr>
          <w:rFonts w:ascii="Arial" w:hAnsi="Arial" w:cs="Arial"/>
        </w:rPr>
        <w:t xml:space="preserve">(2015). </w:t>
      </w:r>
      <w:r w:rsidRPr="00B95AC7">
        <w:rPr>
          <w:rFonts w:ascii="Arial" w:hAnsi="Arial" w:cs="Arial"/>
          <w:i/>
        </w:rPr>
        <w:t xml:space="preserve">La formación de médicos especialistas en México. </w:t>
      </w:r>
      <w:r w:rsidRPr="00B95AC7">
        <w:rPr>
          <w:rFonts w:ascii="Arial" w:hAnsi="Arial" w:cs="Arial"/>
        </w:rPr>
        <w:t>México: Academia Nacional de Medicina.</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Frenk, J. </w:t>
      </w:r>
      <w:r w:rsidRPr="00B95AC7">
        <w:rPr>
          <w:rFonts w:ascii="Arial" w:hAnsi="Arial" w:cs="Arial"/>
          <w:i/>
        </w:rPr>
        <w:t xml:space="preserve"> et al.</w:t>
      </w:r>
      <w:r w:rsidRPr="00B95AC7">
        <w:rPr>
          <w:rFonts w:ascii="Arial" w:hAnsi="Arial" w:cs="Arial"/>
        </w:rPr>
        <w:t xml:space="preserve"> (1991a). Elementos para una teoría de la transición en salud. </w:t>
      </w:r>
      <w:r w:rsidRPr="00B95AC7">
        <w:rPr>
          <w:rFonts w:ascii="Arial" w:hAnsi="Arial" w:cs="Arial"/>
          <w:i/>
        </w:rPr>
        <w:t>Salud Pública de México</w:t>
      </w:r>
      <w:r w:rsidRPr="00B95AC7">
        <w:rPr>
          <w:rFonts w:ascii="Arial" w:hAnsi="Arial" w:cs="Arial"/>
        </w:rPr>
        <w:t xml:space="preserve">, </w:t>
      </w:r>
      <w:r w:rsidRPr="00B95AC7">
        <w:rPr>
          <w:rFonts w:ascii="Arial" w:hAnsi="Arial" w:cs="Arial"/>
          <w:i/>
        </w:rPr>
        <w:t>33</w:t>
      </w:r>
      <w:r w:rsidRPr="00B95AC7">
        <w:rPr>
          <w:rFonts w:ascii="Arial" w:hAnsi="Arial" w:cs="Arial"/>
        </w:rPr>
        <w:t>(5), 448-462.</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Frenk, J. </w:t>
      </w:r>
      <w:r w:rsidRPr="00B95AC7">
        <w:rPr>
          <w:rFonts w:ascii="Arial" w:hAnsi="Arial" w:cs="Arial"/>
          <w:i/>
        </w:rPr>
        <w:t>et al.</w:t>
      </w:r>
      <w:r w:rsidRPr="00B95AC7">
        <w:rPr>
          <w:rFonts w:ascii="Arial" w:hAnsi="Arial" w:cs="Arial"/>
        </w:rPr>
        <w:t xml:space="preserve"> (1991). La transición epidemiológica en América Latina. </w:t>
      </w:r>
      <w:r w:rsidRPr="00B95AC7">
        <w:rPr>
          <w:rFonts w:ascii="Arial" w:hAnsi="Arial" w:cs="Arial"/>
          <w:i/>
        </w:rPr>
        <w:t>Boletín de la Oficina Sanitaria Panamericana</w:t>
      </w:r>
      <w:r w:rsidRPr="00B95AC7">
        <w:rPr>
          <w:rFonts w:ascii="Arial" w:hAnsi="Arial" w:cs="Arial"/>
        </w:rPr>
        <w:t xml:space="preserve">, </w:t>
      </w:r>
      <w:r w:rsidRPr="00B95AC7">
        <w:rPr>
          <w:rFonts w:ascii="Arial" w:hAnsi="Arial" w:cs="Arial"/>
          <w:i/>
        </w:rPr>
        <w:t>111</w:t>
      </w:r>
      <w:r w:rsidRPr="00B95AC7">
        <w:rPr>
          <w:rFonts w:ascii="Arial" w:hAnsi="Arial" w:cs="Arial"/>
        </w:rPr>
        <w:t>(6), 485-496.</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Graue, E. (2015). Posicionamiento de la Academia Nacional de Medicina. En Fajardo, G., Santacruz, J. y C. Lavalle (Coords.),</w:t>
      </w:r>
      <w:r w:rsidRPr="00B95AC7">
        <w:rPr>
          <w:rFonts w:ascii="Arial" w:hAnsi="Arial" w:cs="Arial"/>
          <w:i/>
        </w:rPr>
        <w:t xml:space="preserve"> La formación de médicos especialistas en México. Documento de postura</w:t>
      </w:r>
      <w:r w:rsidRPr="00B95AC7">
        <w:rPr>
          <w:rFonts w:ascii="Arial" w:hAnsi="Arial" w:cs="Arial"/>
        </w:rPr>
        <w:t xml:space="preserve"> (pp. 235-243). México: Academia Nacional de Medicina de México y Consejo Nacional de Ciencia y Tecnología.</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Gutiérrez, C. </w:t>
      </w:r>
      <w:r w:rsidRPr="00B95AC7">
        <w:rPr>
          <w:rFonts w:ascii="Arial" w:hAnsi="Arial" w:cs="Arial"/>
          <w:i/>
        </w:rPr>
        <w:t>et al.</w:t>
      </w:r>
      <w:r w:rsidRPr="00B95AC7">
        <w:rPr>
          <w:rFonts w:ascii="Arial" w:hAnsi="Arial" w:cs="Arial"/>
        </w:rPr>
        <w:t xml:space="preserve"> (2017). Factores relacionados con la elección de una especialidad en medicina. </w:t>
      </w:r>
      <w:r w:rsidRPr="00B95AC7">
        <w:rPr>
          <w:rFonts w:ascii="Arial" w:hAnsi="Arial" w:cs="Arial"/>
          <w:i/>
        </w:rPr>
        <w:t>Investigación en Educación Médica</w:t>
      </w:r>
      <w:r w:rsidRPr="00B95AC7">
        <w:rPr>
          <w:rFonts w:ascii="Arial" w:hAnsi="Arial" w:cs="Arial"/>
        </w:rPr>
        <w:t xml:space="preserve">, </w:t>
      </w:r>
      <w:r w:rsidRPr="00B95AC7">
        <w:rPr>
          <w:rFonts w:ascii="Arial" w:hAnsi="Arial" w:cs="Arial"/>
          <w:i/>
        </w:rPr>
        <w:t>6</w:t>
      </w:r>
      <w:r w:rsidRPr="00B95AC7">
        <w:rPr>
          <w:rFonts w:ascii="Arial" w:hAnsi="Arial" w:cs="Arial"/>
        </w:rPr>
        <w:t>(23), 206-214.</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Heinze, G. </w:t>
      </w:r>
      <w:r w:rsidRPr="00B95AC7">
        <w:rPr>
          <w:rFonts w:ascii="Arial" w:hAnsi="Arial" w:cs="Arial"/>
          <w:i/>
        </w:rPr>
        <w:t>et al.</w:t>
      </w:r>
      <w:r w:rsidRPr="00B95AC7">
        <w:rPr>
          <w:rFonts w:ascii="Arial" w:hAnsi="Arial" w:cs="Arial"/>
        </w:rPr>
        <w:t xml:space="preserve"> (2018). Los médicos especialistas en México. </w:t>
      </w:r>
      <w:r w:rsidRPr="00B95AC7">
        <w:rPr>
          <w:rFonts w:ascii="Arial" w:hAnsi="Arial" w:cs="Arial"/>
          <w:i/>
        </w:rPr>
        <w:t>Gaceta Médica de México</w:t>
      </w:r>
      <w:r w:rsidRPr="00B95AC7">
        <w:rPr>
          <w:rFonts w:ascii="Arial" w:hAnsi="Arial" w:cs="Arial"/>
        </w:rPr>
        <w:t>, 154, 342-351.</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Hernández, E. </w:t>
      </w:r>
      <w:r w:rsidRPr="00B95AC7">
        <w:rPr>
          <w:rFonts w:ascii="Arial" w:hAnsi="Arial" w:cs="Arial"/>
          <w:i/>
        </w:rPr>
        <w:t xml:space="preserve"> et al.</w:t>
      </w:r>
      <w:r w:rsidRPr="00B95AC7">
        <w:rPr>
          <w:rFonts w:ascii="Arial" w:hAnsi="Arial" w:cs="Arial"/>
        </w:rPr>
        <w:t xml:space="preserve"> (2012). Análisis del equilibrio entre oferta y demanda de profesionistas en el período 2001-2009. En Hernández, E. (Coord.), </w:t>
      </w:r>
      <w:r w:rsidRPr="00B95AC7">
        <w:rPr>
          <w:rFonts w:ascii="Arial" w:hAnsi="Arial" w:cs="Arial"/>
          <w:i/>
        </w:rPr>
        <w:t xml:space="preserve">Mercado laboral de profesionistas en </w:t>
      </w:r>
      <w:r w:rsidRPr="00B95AC7">
        <w:rPr>
          <w:rFonts w:ascii="Arial" w:hAnsi="Arial" w:cs="Arial"/>
          <w:i/>
        </w:rPr>
        <w:lastRenderedPageBreak/>
        <w:t>México. Diagnóstico (2000-2009) y prospectiva (2010-2020)</w:t>
      </w:r>
      <w:r w:rsidRPr="00B95AC7">
        <w:rPr>
          <w:rFonts w:ascii="Arial" w:hAnsi="Arial" w:cs="Arial"/>
        </w:rPr>
        <w:t xml:space="preserve"> (pp. 251-267). México: Asociación Nacional de Universidades e Instituciones de Educación Superior.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INEGI (2016). </w:t>
      </w:r>
      <w:r w:rsidRPr="00B95AC7">
        <w:rPr>
          <w:rFonts w:ascii="Arial" w:hAnsi="Arial" w:cs="Arial"/>
          <w:i/>
        </w:rPr>
        <w:t>Encuesta Intercensal 2015</w:t>
      </w:r>
      <w:r w:rsidRPr="00B95AC7">
        <w:rPr>
          <w:rFonts w:ascii="Arial" w:hAnsi="Arial" w:cs="Arial"/>
        </w:rPr>
        <w:t xml:space="preserve">. INEGI. México. [En línea]. https://www.inegi.org.mx/programas/intercensal/2015/ [Consulta el 02 de febrero de 2019].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INEGI (2018). </w:t>
      </w:r>
      <w:r w:rsidRPr="00B95AC7">
        <w:rPr>
          <w:rFonts w:ascii="Arial" w:hAnsi="Arial" w:cs="Arial"/>
          <w:i/>
        </w:rPr>
        <w:t>Salud en establecimientos particulares 2017</w:t>
      </w:r>
      <w:r w:rsidRPr="00B95AC7">
        <w:rPr>
          <w:rFonts w:ascii="Arial" w:hAnsi="Arial" w:cs="Arial"/>
        </w:rPr>
        <w:t xml:space="preserve">. INEGI. México.  [En línea]. https://www.inegi.org.mx/programas/salud/default.html#Datos_abiertos [Consulta el 8 de marzo de 2019].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INEGI (2019). </w:t>
      </w:r>
      <w:r w:rsidRPr="00B95AC7">
        <w:rPr>
          <w:rFonts w:ascii="Arial" w:hAnsi="Arial" w:cs="Arial"/>
          <w:i/>
        </w:rPr>
        <w:t>Defunciones generales en México 2017</w:t>
      </w:r>
      <w:r w:rsidRPr="00B95AC7">
        <w:rPr>
          <w:rFonts w:ascii="Arial" w:hAnsi="Arial" w:cs="Arial"/>
        </w:rPr>
        <w:t>. INEGI. México. [En línea]. https://www.inegi.org.mx/programas/mortalidad/ [Consulta el 05 de febrero de 2019].</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INEGI (2019a). </w:t>
      </w:r>
      <w:r w:rsidRPr="00B95AC7">
        <w:rPr>
          <w:rFonts w:ascii="Arial" w:hAnsi="Arial" w:cs="Arial"/>
          <w:i/>
        </w:rPr>
        <w:t>Encuesta Nacional de Ocupación y Empleo (ENOE), 4to trimestre de 2018</w:t>
      </w:r>
      <w:r w:rsidRPr="00B95AC7">
        <w:rPr>
          <w:rFonts w:ascii="Arial" w:hAnsi="Arial" w:cs="Arial"/>
        </w:rPr>
        <w:t xml:space="preserve">. INEGI. México. [En línea]. </w:t>
      </w:r>
      <w:r w:rsidRPr="00B95AC7">
        <w:rPr>
          <w:rStyle w:val="Hipervnculo"/>
          <w:rFonts w:ascii="Arial" w:hAnsi="Arial" w:cs="Arial"/>
          <w:color w:val="auto"/>
          <w:u w:val="none"/>
        </w:rPr>
        <w:t>https://www.inegi.org.mx/programas/enoe/15ymas/default.html</w:t>
      </w:r>
      <w:r w:rsidRPr="00B95AC7">
        <w:rPr>
          <w:rFonts w:ascii="Arial" w:hAnsi="Arial" w:cs="Arial"/>
        </w:rPr>
        <w:t xml:space="preserve"> [Consulta el 26 de marzo de 2019].</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Instituto Nacional de Salud Pública (2017). </w:t>
      </w:r>
      <w:r w:rsidRPr="00B95AC7">
        <w:rPr>
          <w:rFonts w:ascii="Arial" w:hAnsi="Arial" w:cs="Arial"/>
          <w:i/>
        </w:rPr>
        <w:t xml:space="preserve">Brechas en la disponibilidad de médicos y enfermeras especialistas en el sistema nacional de salud. </w:t>
      </w:r>
      <w:r w:rsidRPr="00B95AC7">
        <w:rPr>
          <w:rFonts w:ascii="Arial" w:hAnsi="Arial" w:cs="Arial"/>
        </w:rPr>
        <w:t>México. [En línea]. http://www.cifrhs.salud.gob.mx/site1/residencias/brechas_medico_enf_esp.pdf [Consulta el 14 de diciembre de 2018].</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lang w:val="en-US"/>
        </w:rPr>
        <w:t xml:space="preserve">Knoll, M. (1997). The project method: Its vocational education origin and international development. </w:t>
      </w:r>
      <w:r w:rsidRPr="00B95AC7">
        <w:rPr>
          <w:rFonts w:ascii="Arial" w:hAnsi="Arial" w:cs="Arial"/>
          <w:i/>
        </w:rPr>
        <w:t>Journal of Industrial Teacher Education</w:t>
      </w:r>
      <w:r w:rsidRPr="00B95AC7">
        <w:rPr>
          <w:rFonts w:ascii="Arial" w:hAnsi="Arial" w:cs="Arial"/>
        </w:rPr>
        <w:t xml:space="preserve">, </w:t>
      </w:r>
      <w:r w:rsidRPr="00B95AC7">
        <w:rPr>
          <w:rFonts w:ascii="Arial" w:hAnsi="Arial" w:cs="Arial"/>
          <w:i/>
        </w:rPr>
        <w:t>34</w:t>
      </w:r>
      <w:r w:rsidRPr="00B95AC7">
        <w:rPr>
          <w:rFonts w:ascii="Arial" w:hAnsi="Arial" w:cs="Arial"/>
        </w:rPr>
        <w:t>(3), 59-80.</w:t>
      </w:r>
    </w:p>
    <w:p w:rsidR="00362567" w:rsidRPr="00B95AC7" w:rsidRDefault="00362567" w:rsidP="00362567">
      <w:pPr>
        <w:jc w:val="both"/>
        <w:rPr>
          <w:rFonts w:ascii="Arial" w:hAnsi="Arial" w:cs="Arial"/>
        </w:rPr>
      </w:pPr>
    </w:p>
    <w:p w:rsidR="00362567" w:rsidRPr="00B95AC7" w:rsidRDefault="00362567" w:rsidP="00362567">
      <w:pPr>
        <w:jc w:val="both"/>
        <w:rPr>
          <w:rFonts w:ascii="Arial" w:hAnsi="Arial" w:cs="Arial"/>
        </w:rPr>
      </w:pPr>
      <w:r w:rsidRPr="00B95AC7">
        <w:rPr>
          <w:rFonts w:ascii="Arial" w:hAnsi="Arial" w:cs="Arial"/>
        </w:rPr>
        <w:t>Ley General de Educación. Diario Oficial de la Federación, Ciudad de México, México, 19 de enero de 2018.</w:t>
      </w:r>
    </w:p>
    <w:p w:rsidR="00362567" w:rsidRPr="00B95AC7" w:rsidRDefault="00362567" w:rsidP="00362567">
      <w:pPr>
        <w:jc w:val="both"/>
        <w:rPr>
          <w:rFonts w:ascii="Arial" w:hAnsi="Arial" w:cs="Arial"/>
        </w:rPr>
      </w:pPr>
      <w:r w:rsidRPr="00B95AC7">
        <w:rPr>
          <w:rFonts w:ascii="Arial" w:hAnsi="Arial" w:cs="Arial"/>
        </w:rPr>
        <w:t>Ley General de Salud. Diario Oficial de la Federación, Ciudad de México, México, 12 de julio de 2018.</w:t>
      </w:r>
    </w:p>
    <w:p w:rsidR="00362567" w:rsidRPr="00362567" w:rsidRDefault="00362567" w:rsidP="00362567">
      <w:pPr>
        <w:pStyle w:val="Sinespaciado"/>
        <w:jc w:val="both"/>
        <w:rPr>
          <w:rFonts w:ascii="Arial" w:hAnsi="Arial" w:cs="Arial"/>
        </w:rPr>
      </w:pPr>
      <w:r w:rsidRPr="00B95AC7">
        <w:rPr>
          <w:rFonts w:ascii="Arial" w:hAnsi="Arial" w:cs="Arial"/>
        </w:rPr>
        <w:t xml:space="preserve">Lozano, R. </w:t>
      </w:r>
      <w:r w:rsidRPr="00B95AC7">
        <w:rPr>
          <w:rFonts w:ascii="Arial" w:hAnsi="Arial" w:cs="Arial"/>
          <w:i/>
        </w:rPr>
        <w:t xml:space="preserve"> et al.</w:t>
      </w:r>
      <w:r w:rsidRPr="00B95AC7">
        <w:rPr>
          <w:rFonts w:ascii="Arial" w:hAnsi="Arial" w:cs="Arial"/>
        </w:rPr>
        <w:t xml:space="preserve"> (2013). La carga de enfermedad, lesiones, factores de riesgo y desafíos para el sistema de salud en México. </w:t>
      </w:r>
      <w:r w:rsidRPr="00362567">
        <w:rPr>
          <w:rFonts w:ascii="Arial" w:hAnsi="Arial" w:cs="Arial"/>
          <w:i/>
        </w:rPr>
        <w:t>Salud Pública de México</w:t>
      </w:r>
      <w:r w:rsidRPr="00362567">
        <w:rPr>
          <w:rFonts w:ascii="Arial" w:hAnsi="Arial" w:cs="Arial"/>
        </w:rPr>
        <w:t xml:space="preserve">, </w:t>
      </w:r>
      <w:r w:rsidRPr="00362567">
        <w:rPr>
          <w:rFonts w:ascii="Arial" w:hAnsi="Arial" w:cs="Arial"/>
          <w:i/>
        </w:rPr>
        <w:t>55</w:t>
      </w:r>
      <w:r w:rsidRPr="00362567">
        <w:rPr>
          <w:rFonts w:ascii="Arial" w:hAnsi="Arial" w:cs="Arial"/>
        </w:rPr>
        <w:t>(6), 580-594.</w:t>
      </w:r>
    </w:p>
    <w:p w:rsidR="00362567" w:rsidRPr="0036256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Mina, A. (2010). Evolución de la mortalidad: Pasado, presente y futuro. En B. García y M. Ordorica (Coords.), </w:t>
      </w:r>
      <w:r w:rsidRPr="00B95AC7">
        <w:rPr>
          <w:rFonts w:ascii="Arial" w:hAnsi="Arial" w:cs="Arial"/>
          <w:i/>
        </w:rPr>
        <w:t>Los grandes problemas de México: Población (</w:t>
      </w:r>
      <w:r w:rsidRPr="00B95AC7">
        <w:rPr>
          <w:rFonts w:ascii="Arial" w:hAnsi="Arial" w:cs="Arial"/>
        </w:rPr>
        <w:t>pp.79-104)</w:t>
      </w:r>
      <w:r w:rsidRPr="00B95AC7">
        <w:rPr>
          <w:rFonts w:ascii="Arial" w:hAnsi="Arial" w:cs="Arial"/>
          <w:i/>
        </w:rPr>
        <w:t>.</w:t>
      </w:r>
      <w:r w:rsidRPr="00B95AC7">
        <w:rPr>
          <w:rFonts w:ascii="Arial" w:hAnsi="Arial" w:cs="Arial"/>
        </w:rPr>
        <w:t xml:space="preserve"> México: El Colegio de México.</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Negrete, M. (2003). El envejecimiento poblacional en la Ciudad de México: Evolución y pautas de distribución espacial entre 1970 y 2000. </w:t>
      </w:r>
      <w:r w:rsidRPr="00B95AC7">
        <w:rPr>
          <w:rFonts w:ascii="Arial" w:hAnsi="Arial" w:cs="Arial"/>
          <w:i/>
        </w:rPr>
        <w:t>Papeles de Población</w:t>
      </w:r>
      <w:r w:rsidRPr="00B95AC7">
        <w:rPr>
          <w:rFonts w:ascii="Arial" w:hAnsi="Arial" w:cs="Arial"/>
        </w:rPr>
        <w:t xml:space="preserve">, </w:t>
      </w:r>
      <w:r w:rsidRPr="00B95AC7">
        <w:rPr>
          <w:rFonts w:ascii="Arial" w:hAnsi="Arial" w:cs="Arial"/>
          <w:i/>
        </w:rPr>
        <w:t>9</w:t>
      </w:r>
      <w:r w:rsidRPr="00B95AC7">
        <w:rPr>
          <w:rFonts w:ascii="Arial" w:hAnsi="Arial" w:cs="Arial"/>
        </w:rPr>
        <w:t>(37), 107-127.</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Nigenda, G. </w:t>
      </w:r>
      <w:r w:rsidRPr="00B95AC7">
        <w:rPr>
          <w:rFonts w:ascii="Arial" w:hAnsi="Arial" w:cs="Arial"/>
          <w:i/>
        </w:rPr>
        <w:t>et al</w:t>
      </w:r>
      <w:r w:rsidRPr="00B95AC7">
        <w:rPr>
          <w:rFonts w:ascii="Arial" w:hAnsi="Arial" w:cs="Arial"/>
        </w:rPr>
        <w:t xml:space="preserve">. (2016). Eficiencia de los recursos humanos en salud: Una aproximación a su análisis en México. </w:t>
      </w:r>
      <w:r w:rsidRPr="00B95AC7">
        <w:rPr>
          <w:rFonts w:ascii="Arial" w:hAnsi="Arial" w:cs="Arial"/>
          <w:i/>
        </w:rPr>
        <w:t>Salud Pública de México</w:t>
      </w:r>
      <w:r w:rsidRPr="00B95AC7">
        <w:rPr>
          <w:rFonts w:ascii="Arial" w:hAnsi="Arial" w:cs="Arial"/>
        </w:rPr>
        <w:t xml:space="preserve">, </w:t>
      </w:r>
      <w:r w:rsidRPr="00B95AC7">
        <w:rPr>
          <w:rFonts w:ascii="Arial" w:hAnsi="Arial" w:cs="Arial"/>
          <w:i/>
        </w:rPr>
        <w:t>58</w:t>
      </w:r>
      <w:r w:rsidRPr="00B95AC7">
        <w:rPr>
          <w:rFonts w:ascii="Arial" w:hAnsi="Arial" w:cs="Arial"/>
        </w:rPr>
        <w:t>(5), 533-542.</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b/>
        </w:rPr>
      </w:pPr>
      <w:r w:rsidRPr="00B95AC7">
        <w:rPr>
          <w:rFonts w:ascii="Arial" w:hAnsi="Arial" w:cs="Arial"/>
        </w:rPr>
        <w:t>Norma Oficial Mexicana NOM-001-SSA3-2012, Educación en salud. Para la organización y funcionamiento de residencias médicas.</w:t>
      </w:r>
      <w:r w:rsidRPr="00B95AC7">
        <w:rPr>
          <w:rFonts w:ascii="Arial" w:hAnsi="Arial" w:cs="Arial"/>
          <w:b/>
        </w:rPr>
        <w:t xml:space="preserve"> </w:t>
      </w:r>
      <w:r w:rsidRPr="00B95AC7">
        <w:rPr>
          <w:rFonts w:ascii="Arial" w:hAnsi="Arial" w:cs="Arial"/>
        </w:rPr>
        <w:t>Diario Oficial de la Federación, Ciudad de México, México, 04 de enero de 2013.</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NOM-004-SSA3-2012, Del expediente clínico. Diario Oficial de la Federación, Ciudad de México, México, 29 de junio de 2012.</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lastRenderedPageBreak/>
        <w:t>Norma Oficial Mexicana NOM-008-SSA2-1993, Control de la nutrición, crecimiento y desarrollo del niño y del adolescente. Criterios y procedimientos para la prestación del servicio. Diario Oficial de la Federación, Ciudad de México, México, 28 de julio de 1994.</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NOM-016-SSA3-2012, Que establece las características mínimas de infraestructura y equipamiento de hospitales y consultorios de atención médica especializada. Diario Oficial de la Federación, Ciudad de México, México, 08 de enero de 2013.</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NOM-017-SSA2-2012, Para la vigilancia epidemiológica.</w:t>
      </w:r>
      <w:r w:rsidRPr="00B95AC7">
        <w:rPr>
          <w:rFonts w:ascii="Arial" w:hAnsi="Arial" w:cs="Arial"/>
          <w:b/>
        </w:rPr>
        <w:t xml:space="preserve"> </w:t>
      </w:r>
      <w:r w:rsidRPr="00B95AC7">
        <w:rPr>
          <w:rFonts w:ascii="Arial" w:hAnsi="Arial" w:cs="Arial"/>
        </w:rPr>
        <w:t>Diario Oficial de la Federación, Ciudad de México, México, 19 de febrero de 2013.</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b/>
        </w:rPr>
      </w:pPr>
      <w:r w:rsidRPr="00B95AC7">
        <w:rPr>
          <w:rFonts w:ascii="Arial" w:hAnsi="Arial" w:cs="Arial"/>
        </w:rPr>
        <w:t>Norma Oficial Mexicana NOM-027-SSA3-2013, Regulación de los servicios de salud. Que establece los criterios de funcionamiento y atención en los servicios de urgencias de los establecimientos para la atención médica. Diario Oficial de la Federación, Ciudad de México, México, 04 de septiembre de 2013.</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NOM-031-SSA2-1999, Para la atención a la salud del niño. Diario Oficial de la Federación, Ciudad de México, México, 9 de junio de 2000.</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NOM-034-SSA2-2013, Para la prevención y control de los defectos al nacimiento. Diario Oficial de la Federación, Ciudad de México, México, 31 de octubre de 2001.</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Norma Oficial Mexicana NOM-035-SSA3-2012, En materia de información en salud. Diario Oficial de la Federación, Ciudad de México, México, 30 de noviembre de 2012.</w:t>
      </w:r>
    </w:p>
    <w:p w:rsidR="00362567" w:rsidRPr="00B95AC7" w:rsidRDefault="00362567" w:rsidP="00362567">
      <w:pPr>
        <w:pStyle w:val="Sinespaciado"/>
        <w:jc w:val="both"/>
        <w:rPr>
          <w:rFonts w:ascii="Arial" w:hAnsi="Arial" w:cs="Arial"/>
          <w:color w:val="FF0000"/>
        </w:rPr>
      </w:pPr>
    </w:p>
    <w:p w:rsidR="00362567" w:rsidRPr="00B95AC7" w:rsidRDefault="00362567" w:rsidP="00362567">
      <w:pPr>
        <w:pStyle w:val="Sinespaciado"/>
        <w:jc w:val="both"/>
        <w:rPr>
          <w:rFonts w:ascii="Arial" w:hAnsi="Arial" w:cs="Arial"/>
        </w:rPr>
      </w:pPr>
      <w:r w:rsidRPr="00B95AC7">
        <w:rPr>
          <w:rFonts w:ascii="Arial" w:hAnsi="Arial" w:cs="Arial"/>
          <w:lang w:val="en-US"/>
        </w:rPr>
        <w:t xml:space="preserve">OCDE (2017). </w:t>
      </w:r>
      <w:r w:rsidRPr="00B95AC7">
        <w:rPr>
          <w:rFonts w:ascii="Arial" w:hAnsi="Arial" w:cs="Arial"/>
          <w:i/>
          <w:lang w:val="en-US"/>
        </w:rPr>
        <w:t>Health at a Glance 2017: OECD Indicators</w:t>
      </w:r>
      <w:r w:rsidRPr="00B95AC7">
        <w:rPr>
          <w:rFonts w:ascii="Arial" w:hAnsi="Arial" w:cs="Arial"/>
          <w:lang w:val="en-US"/>
        </w:rPr>
        <w:t xml:space="preserve">. </w:t>
      </w:r>
      <w:r w:rsidRPr="00B95AC7">
        <w:rPr>
          <w:rFonts w:ascii="Arial" w:hAnsi="Arial" w:cs="Arial"/>
        </w:rPr>
        <w:t xml:space="preserve">Francia: OCDE Publicaciones.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Ordorica, M. (2010). Las proyecciones de población hasta mitad del siglo XXI.  En B. García y M. Ordorica (Coords.), </w:t>
      </w:r>
      <w:r w:rsidRPr="00B95AC7">
        <w:rPr>
          <w:rFonts w:ascii="Arial" w:hAnsi="Arial" w:cs="Arial"/>
          <w:i/>
        </w:rPr>
        <w:t>Los grandes problemas de México: Población</w:t>
      </w:r>
      <w:r w:rsidRPr="00B95AC7">
        <w:rPr>
          <w:rFonts w:ascii="Arial" w:hAnsi="Arial" w:cs="Arial"/>
        </w:rPr>
        <w:t xml:space="preserve"> (pp.29-52). México: El Colegio de México.</w:t>
      </w:r>
    </w:p>
    <w:p w:rsidR="00362567" w:rsidRPr="00B95AC7" w:rsidRDefault="00362567" w:rsidP="00362567">
      <w:pPr>
        <w:pStyle w:val="Sinespaciado"/>
        <w:jc w:val="both"/>
        <w:rPr>
          <w:rFonts w:ascii="Arial" w:hAnsi="Arial" w:cs="Arial"/>
        </w:rPr>
      </w:pPr>
    </w:p>
    <w:p w:rsidR="00362567" w:rsidRPr="00362567" w:rsidRDefault="00362567" w:rsidP="00362567">
      <w:pPr>
        <w:pStyle w:val="Sinespaciado"/>
        <w:jc w:val="both"/>
        <w:rPr>
          <w:rFonts w:ascii="Arial" w:hAnsi="Arial" w:cs="Arial"/>
          <w:lang w:val="en-US"/>
        </w:rPr>
      </w:pPr>
      <w:r w:rsidRPr="00B95AC7">
        <w:rPr>
          <w:rFonts w:ascii="Arial" w:hAnsi="Arial" w:cs="Arial"/>
        </w:rPr>
        <w:t xml:space="preserve">Ortiz, M. y L. Gerónimo (2008). El envejecimiento en México. Aspectos territoriales y repercusiones sociales. </w:t>
      </w:r>
      <w:r w:rsidRPr="00362567">
        <w:rPr>
          <w:rFonts w:ascii="Arial" w:hAnsi="Arial" w:cs="Arial"/>
          <w:i/>
          <w:lang w:val="en-US"/>
        </w:rPr>
        <w:t>Trayectorias</w:t>
      </w:r>
      <w:r w:rsidRPr="00362567">
        <w:rPr>
          <w:rFonts w:ascii="Arial" w:hAnsi="Arial" w:cs="Arial"/>
          <w:lang w:val="en-US"/>
        </w:rPr>
        <w:t xml:space="preserve">, </w:t>
      </w:r>
      <w:r w:rsidRPr="00362567">
        <w:rPr>
          <w:rFonts w:ascii="Arial" w:hAnsi="Arial" w:cs="Arial"/>
          <w:i/>
          <w:lang w:val="en-US"/>
        </w:rPr>
        <w:t>10</w:t>
      </w:r>
      <w:r w:rsidRPr="00362567">
        <w:rPr>
          <w:rFonts w:ascii="Arial" w:hAnsi="Arial" w:cs="Arial"/>
          <w:lang w:val="en-US"/>
        </w:rPr>
        <w:t>(26), 79-92.</w:t>
      </w:r>
    </w:p>
    <w:p w:rsidR="00362567" w:rsidRPr="00362567" w:rsidRDefault="00362567" w:rsidP="00362567">
      <w:pPr>
        <w:pStyle w:val="Sinespaciado"/>
        <w:jc w:val="both"/>
        <w:rPr>
          <w:rFonts w:ascii="Arial" w:hAnsi="Arial" w:cs="Arial"/>
          <w:lang w:val="en-US"/>
        </w:rPr>
      </w:pPr>
    </w:p>
    <w:p w:rsidR="00362567" w:rsidRPr="00B95AC7" w:rsidRDefault="00362567" w:rsidP="00362567">
      <w:pPr>
        <w:pStyle w:val="Sinespaciado"/>
        <w:jc w:val="both"/>
        <w:rPr>
          <w:rFonts w:ascii="Arial" w:hAnsi="Arial" w:cs="Arial"/>
        </w:rPr>
      </w:pPr>
      <w:r w:rsidRPr="00B95AC7">
        <w:rPr>
          <w:rFonts w:ascii="Arial" w:hAnsi="Arial" w:cs="Arial"/>
          <w:lang w:val="en-US"/>
        </w:rPr>
        <w:t xml:space="preserve">Querido, S. </w:t>
      </w:r>
      <w:r w:rsidRPr="00B95AC7">
        <w:rPr>
          <w:rFonts w:ascii="Arial" w:hAnsi="Arial" w:cs="Arial"/>
          <w:i/>
          <w:lang w:val="en-US"/>
        </w:rPr>
        <w:t>et al.</w:t>
      </w:r>
      <w:r w:rsidRPr="00B95AC7">
        <w:rPr>
          <w:rFonts w:ascii="Arial" w:hAnsi="Arial" w:cs="Arial"/>
          <w:lang w:val="en-US"/>
        </w:rPr>
        <w:t xml:space="preserve"> (2016). Dynamics of career choice among students in undergraduate medical courses. </w:t>
      </w:r>
      <w:r w:rsidRPr="00B95AC7">
        <w:rPr>
          <w:rFonts w:ascii="Arial" w:hAnsi="Arial" w:cs="Arial"/>
        </w:rPr>
        <w:t xml:space="preserve">A BEME systematic review: BEME Guide No. 33. </w:t>
      </w:r>
      <w:r w:rsidRPr="00B95AC7">
        <w:rPr>
          <w:rFonts w:ascii="Arial" w:hAnsi="Arial" w:cs="Arial"/>
          <w:i/>
        </w:rPr>
        <w:t>Medical Teacher</w:t>
      </w:r>
      <w:r w:rsidRPr="00B95AC7">
        <w:rPr>
          <w:rFonts w:ascii="Arial" w:hAnsi="Arial" w:cs="Arial"/>
        </w:rPr>
        <w:t xml:space="preserve">, </w:t>
      </w:r>
      <w:r w:rsidRPr="00B95AC7">
        <w:rPr>
          <w:rFonts w:ascii="Arial" w:hAnsi="Arial" w:cs="Arial"/>
          <w:i/>
        </w:rPr>
        <w:t>38</w:t>
      </w:r>
      <w:r w:rsidRPr="00B95AC7">
        <w:rPr>
          <w:rFonts w:ascii="Arial" w:hAnsi="Arial" w:cs="Arial"/>
        </w:rPr>
        <w:t>(1), 18-29.</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Rodríguez, R. (1989) Metodología para el análisis demográfico de la eficiencia terminal, la deserción y el rezago escolar. En Santoyo, R. (Coord.), </w:t>
      </w:r>
      <w:r w:rsidRPr="00B95AC7">
        <w:rPr>
          <w:rFonts w:ascii="Arial" w:hAnsi="Arial" w:cs="Arial"/>
          <w:i/>
        </w:rPr>
        <w:t>La trayectoria escolar en la educación superior. Panorámica de la investigación y acercamientos metodológicos</w:t>
      </w:r>
      <w:r w:rsidRPr="00B95AC7">
        <w:rPr>
          <w:rFonts w:ascii="Arial" w:hAnsi="Arial" w:cs="Arial"/>
        </w:rPr>
        <w:t xml:space="preserve"> (pp. 225-280). México: ANUIES.</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Ruelas, E. y A. Alonso (2015). Imágenes generales sobre la posible evolución futura de las especialidades médicas. En Ruelas, E. y A. Alonso (Eds.), </w:t>
      </w:r>
      <w:r w:rsidRPr="00B95AC7">
        <w:rPr>
          <w:rFonts w:ascii="Arial" w:hAnsi="Arial" w:cs="Arial"/>
          <w:i/>
        </w:rPr>
        <w:t>Futuros de las especialidades médicas en México</w:t>
      </w:r>
      <w:r w:rsidRPr="00B95AC7">
        <w:rPr>
          <w:rFonts w:ascii="Arial" w:hAnsi="Arial" w:cs="Arial"/>
        </w:rPr>
        <w:t xml:space="preserve"> (pp. 105-122). México: Academia Nacional de Medicina de México y Consejo Nacional de Ciencia y Tecnología de México.</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lastRenderedPageBreak/>
        <w:t xml:space="preserve">Sánchez, D. (2007). Envejecimiento demográfico urbano y sus repercusiones socioespaciales en México. Retos de la planeación gerontológica. </w:t>
      </w:r>
      <w:r w:rsidRPr="00B95AC7">
        <w:rPr>
          <w:rFonts w:ascii="Arial" w:hAnsi="Arial" w:cs="Arial"/>
          <w:i/>
        </w:rPr>
        <w:t>Revista de Geografía Norte Grande</w:t>
      </w:r>
      <w:r w:rsidRPr="00B95AC7">
        <w:rPr>
          <w:rFonts w:ascii="Arial" w:hAnsi="Arial" w:cs="Arial"/>
        </w:rPr>
        <w:t>, 38, 45-61.</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Secretaria de Salud (2017). </w:t>
      </w:r>
      <w:r w:rsidRPr="00B95AC7">
        <w:rPr>
          <w:rFonts w:ascii="Arial" w:hAnsi="Arial" w:cs="Arial"/>
          <w:i/>
        </w:rPr>
        <w:t>Boletín de Información Estadística No. 36 Año 2016. Volumen III. Servicios otorgados y programas sustantivos.</w:t>
      </w:r>
      <w:r w:rsidRPr="00B95AC7">
        <w:rPr>
          <w:rFonts w:ascii="Arial" w:hAnsi="Arial" w:cs="Arial"/>
        </w:rPr>
        <w:t xml:space="preserve"> [En línea]. http://www.dgis.salud.gob.mx/contenidos/publicaciones/p_bie_gobmx.html [Consulta el 01 de marzo de 2019].</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Secretaría de Salud (2019). </w:t>
      </w:r>
      <w:r w:rsidRPr="00B95AC7">
        <w:rPr>
          <w:rFonts w:ascii="Arial" w:hAnsi="Arial" w:cs="Arial"/>
          <w:i/>
        </w:rPr>
        <w:t>Recursos en Salud 2017</w:t>
      </w:r>
      <w:r w:rsidRPr="00B95AC7">
        <w:rPr>
          <w:rFonts w:ascii="Arial" w:hAnsi="Arial" w:cs="Arial"/>
        </w:rPr>
        <w:t xml:space="preserve">. [En línea].  https://datos.gob.mx/busca/dataset/recursos-en-salud-nivel-central [Consulta el 28 de febrero de 2019]. </w:t>
      </w:r>
    </w:p>
    <w:p w:rsidR="00362567" w:rsidRPr="00B95AC7" w:rsidRDefault="00362567" w:rsidP="00362567">
      <w:pPr>
        <w:pStyle w:val="Sinespaciado"/>
        <w:jc w:val="both"/>
        <w:rPr>
          <w:rFonts w:ascii="Arial" w:hAnsi="Arial" w:cs="Arial"/>
        </w:rPr>
      </w:pPr>
    </w:p>
    <w:p w:rsidR="00362567" w:rsidRPr="00B95AC7" w:rsidRDefault="00362567" w:rsidP="00362567">
      <w:pPr>
        <w:pStyle w:val="Sinespaciado"/>
        <w:jc w:val="both"/>
        <w:rPr>
          <w:rFonts w:ascii="Arial" w:hAnsi="Arial" w:cs="Arial"/>
        </w:rPr>
      </w:pPr>
      <w:r w:rsidRPr="00B95AC7">
        <w:rPr>
          <w:rFonts w:ascii="Arial" w:hAnsi="Arial" w:cs="Arial"/>
        </w:rPr>
        <w:t xml:space="preserve">Secretaría de Salud (s.f.). </w:t>
      </w:r>
      <w:r w:rsidRPr="00B95AC7">
        <w:rPr>
          <w:rFonts w:ascii="Arial" w:hAnsi="Arial" w:cs="Arial"/>
          <w:i/>
        </w:rPr>
        <w:t>Anuario de Morbilidad de México, 1984-2017</w:t>
      </w:r>
      <w:r w:rsidRPr="00B95AC7">
        <w:rPr>
          <w:rFonts w:ascii="Arial" w:hAnsi="Arial" w:cs="Arial"/>
        </w:rPr>
        <w:t xml:space="preserve">. [En línea]. http://187.191.75.115/anuario/html/morbilidad_nacional.html [Consulta el 14 de febrero de 2019]. </w:t>
      </w:r>
    </w:p>
    <w:p w:rsidR="00362567" w:rsidRPr="00B95AC7" w:rsidRDefault="00362567" w:rsidP="00362567">
      <w:pPr>
        <w:pStyle w:val="Sinespaciado"/>
        <w:jc w:val="both"/>
        <w:rPr>
          <w:rFonts w:ascii="Arial" w:hAnsi="Arial" w:cs="Arial"/>
        </w:rPr>
      </w:pPr>
    </w:p>
    <w:p w:rsidR="002D7130" w:rsidRPr="002D7130" w:rsidRDefault="00362567" w:rsidP="00362567">
      <w:pPr>
        <w:pStyle w:val="Sinespaciado"/>
        <w:jc w:val="both"/>
        <w:rPr>
          <w:rFonts w:ascii="Arial" w:hAnsi="Arial" w:cs="Arial"/>
        </w:rPr>
      </w:pPr>
      <w:r w:rsidRPr="00B95AC7">
        <w:rPr>
          <w:rFonts w:ascii="Arial" w:hAnsi="Arial" w:cs="Arial"/>
        </w:rPr>
        <w:t xml:space="preserve">Solís, P. (1999). El ingreso a la cuarta edad en México: Una aproximación a su intensidad, calendario e implicaciones en el apoyo familiar y social de los ancianos. </w:t>
      </w:r>
      <w:r w:rsidRPr="00B95AC7">
        <w:rPr>
          <w:rFonts w:ascii="Arial" w:hAnsi="Arial" w:cs="Arial"/>
          <w:i/>
        </w:rPr>
        <w:t>Papeles de Población</w:t>
      </w:r>
      <w:r w:rsidRPr="00B95AC7">
        <w:rPr>
          <w:rFonts w:ascii="Arial" w:hAnsi="Arial" w:cs="Arial"/>
        </w:rPr>
        <w:t xml:space="preserve">, </w:t>
      </w:r>
      <w:r w:rsidRPr="00B95AC7">
        <w:rPr>
          <w:rFonts w:ascii="Arial" w:hAnsi="Arial" w:cs="Arial"/>
          <w:i/>
        </w:rPr>
        <w:t>5</w:t>
      </w:r>
      <w:r w:rsidRPr="00B95AC7">
        <w:rPr>
          <w:rFonts w:ascii="Arial" w:hAnsi="Arial" w:cs="Arial"/>
        </w:rPr>
        <w:t>(19), 43-63.</w:t>
      </w:r>
      <w:bookmarkStart w:id="0" w:name="_GoBack"/>
      <w:bookmarkEnd w:id="0"/>
    </w:p>
    <w:p w:rsidR="005075F2" w:rsidRPr="00E727FB" w:rsidRDefault="005075F2" w:rsidP="005075F2">
      <w:pPr>
        <w:pStyle w:val="Sinespaciado"/>
        <w:jc w:val="both"/>
        <w:rPr>
          <w:rFonts w:ascii="Arial" w:hAnsi="Arial" w:cs="Arial"/>
        </w:rPr>
      </w:pPr>
    </w:p>
    <w:sectPr w:rsidR="005075F2" w:rsidRPr="00E727FB" w:rsidSect="00E96174">
      <w:footerReference w:type="even" r:id="rId36"/>
      <w:footerReference w:type="default" r:id="rId3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3641" w:rsidRDefault="00293641" w:rsidP="000E19B0">
      <w:pPr>
        <w:spacing w:after="0" w:line="240" w:lineRule="auto"/>
      </w:pPr>
      <w:r>
        <w:separator/>
      </w:r>
    </w:p>
  </w:endnote>
  <w:endnote w:type="continuationSeparator" w:id="0">
    <w:p w:rsidR="00293641" w:rsidRDefault="00293641"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Indivisa Text Sans">
    <w:altName w:val="Arial"/>
    <w:panose1 w:val="00000000000000000000"/>
    <w:charset w:val="00"/>
    <w:family w:val="modern"/>
    <w:notTrueType/>
    <w:pitch w:val="variable"/>
    <w:sig w:usb0="00000001" w:usb1="00000001" w:usb2="00000000" w:usb3="00000000" w:csb0="00000093"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326391"/>
      <w:docPartObj>
        <w:docPartGallery w:val="Page Numbers (Bottom of Page)"/>
        <w:docPartUnique/>
      </w:docPartObj>
    </w:sdtPr>
    <w:sdtContent>
      <w:p w:rsidR="00E96174" w:rsidRDefault="00E96174">
        <w:pPr>
          <w:pStyle w:val="Piedepgina"/>
        </w:pPr>
        <w:r w:rsidRPr="00E96174">
          <w:rPr>
            <w:rFonts w:ascii="Arial" w:hAnsi="Arial" w:cs="Arial"/>
          </w:rPr>
          <w:fldChar w:fldCharType="begin"/>
        </w:r>
        <w:r w:rsidRPr="00E96174">
          <w:rPr>
            <w:rFonts w:ascii="Arial" w:hAnsi="Arial" w:cs="Arial"/>
          </w:rPr>
          <w:instrText>PAGE   \* MERGEFORMAT</w:instrText>
        </w:r>
        <w:r w:rsidRPr="00E96174">
          <w:rPr>
            <w:rFonts w:ascii="Arial" w:hAnsi="Arial" w:cs="Arial"/>
          </w:rPr>
          <w:fldChar w:fldCharType="separate"/>
        </w:r>
        <w:r w:rsidR="00362567" w:rsidRPr="00362567">
          <w:rPr>
            <w:rFonts w:ascii="Arial" w:hAnsi="Arial" w:cs="Arial"/>
            <w:noProof/>
            <w:lang w:val="es-ES"/>
          </w:rPr>
          <w:t>62</w:t>
        </w:r>
        <w:r w:rsidRPr="00E96174">
          <w:rPr>
            <w:rFonts w:ascii="Arial" w:hAnsi="Arial"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6191562"/>
      <w:docPartObj>
        <w:docPartGallery w:val="Page Numbers (Bottom of Page)"/>
        <w:docPartUnique/>
      </w:docPartObj>
    </w:sdtPr>
    <w:sdtEndPr>
      <w:rPr>
        <w:rFonts w:ascii="Arial" w:hAnsi="Arial" w:cs="Arial"/>
      </w:rPr>
    </w:sdtEndPr>
    <w:sdtContent>
      <w:p w:rsidR="00E96174" w:rsidRPr="00E96174" w:rsidRDefault="00E96174">
        <w:pPr>
          <w:pStyle w:val="Piedepgina"/>
          <w:jc w:val="right"/>
          <w:rPr>
            <w:rFonts w:ascii="Arial" w:hAnsi="Arial" w:cs="Arial"/>
          </w:rPr>
        </w:pPr>
        <w:r w:rsidRPr="00E96174">
          <w:rPr>
            <w:rFonts w:ascii="Arial" w:hAnsi="Arial" w:cs="Arial"/>
          </w:rPr>
          <w:fldChar w:fldCharType="begin"/>
        </w:r>
        <w:r w:rsidRPr="00E96174">
          <w:rPr>
            <w:rFonts w:ascii="Arial" w:hAnsi="Arial" w:cs="Arial"/>
          </w:rPr>
          <w:instrText>PAGE   \* MERGEFORMAT</w:instrText>
        </w:r>
        <w:r w:rsidRPr="00E96174">
          <w:rPr>
            <w:rFonts w:ascii="Arial" w:hAnsi="Arial" w:cs="Arial"/>
          </w:rPr>
          <w:fldChar w:fldCharType="separate"/>
        </w:r>
        <w:r w:rsidR="00362567" w:rsidRPr="00362567">
          <w:rPr>
            <w:rFonts w:ascii="Arial" w:hAnsi="Arial" w:cs="Arial"/>
            <w:noProof/>
            <w:lang w:val="es-ES"/>
          </w:rPr>
          <w:t>61</w:t>
        </w:r>
        <w:r w:rsidRPr="00E96174">
          <w:rPr>
            <w:rFonts w:ascii="Arial" w:hAnsi="Arial" w:cs="Arial"/>
          </w:rPr>
          <w:fldChar w:fldCharType="end"/>
        </w:r>
      </w:p>
    </w:sdtContent>
  </w:sdt>
  <w:p w:rsidR="00E96174" w:rsidRDefault="00E9617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3641" w:rsidRDefault="00293641" w:rsidP="000E19B0">
      <w:pPr>
        <w:spacing w:after="0" w:line="240" w:lineRule="auto"/>
      </w:pPr>
      <w:r>
        <w:separator/>
      </w:r>
    </w:p>
  </w:footnote>
  <w:footnote w:type="continuationSeparator" w:id="0">
    <w:p w:rsidR="00293641" w:rsidRDefault="00293641" w:rsidP="000E19B0">
      <w:pPr>
        <w:spacing w:after="0" w:line="240" w:lineRule="auto"/>
      </w:pPr>
      <w:r>
        <w:continuationSeparator/>
      </w:r>
    </w:p>
  </w:footnote>
  <w:footnote w:id="1">
    <w:p w:rsidR="00E96174" w:rsidRPr="003C138F" w:rsidRDefault="00E96174" w:rsidP="00A24941">
      <w:pPr>
        <w:autoSpaceDE w:val="0"/>
        <w:autoSpaceDN w:val="0"/>
        <w:adjustRightInd w:val="0"/>
        <w:spacing w:after="0" w:line="240" w:lineRule="auto"/>
        <w:ind w:left="142" w:hanging="142"/>
        <w:jc w:val="both"/>
        <w:rPr>
          <w:rFonts w:ascii="Arial" w:hAnsi="Arial" w:cs="Arial"/>
          <w:sz w:val="18"/>
          <w:szCs w:val="18"/>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3C138F">
        <w:rPr>
          <w:rFonts w:ascii="Arial" w:hAnsi="Arial" w:cs="Arial"/>
          <w:sz w:val="18"/>
          <w:szCs w:val="18"/>
        </w:rPr>
        <w:t>Es reconocido el papel pionero de la Escuela de Medicina de la Universidad McMaster, de Canadá, así como el liderazgo e influencia de instituciones como Harvard Business School y Harvard Medical School.</w:t>
      </w:r>
    </w:p>
  </w:footnote>
  <w:footnote w:id="2">
    <w:p w:rsidR="00E96174" w:rsidRPr="003C138F" w:rsidRDefault="00E96174"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E96174" w:rsidRPr="003C138F" w:rsidRDefault="00E96174"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Tiene su origen en la Universidad de Harvard (aproximadamente en 1914), con el fin de que los estudiantes de Derecho, en el aprendizaje de las leyes, se enfrentaran a </w:t>
      </w:r>
      <w:r w:rsidRPr="003C138F">
        <w:rPr>
          <w:rFonts w:ascii="Arial" w:hAnsi="Arial" w:cs="Arial"/>
          <w:bCs/>
          <w:sz w:val="18"/>
          <w:szCs w:val="18"/>
        </w:rPr>
        <w:t>situaciones reales</w:t>
      </w:r>
      <w:r w:rsidRPr="003C138F">
        <w:rPr>
          <w:rFonts w:ascii="Arial" w:hAnsi="Arial" w:cs="Arial"/>
          <w:b/>
          <w:bCs/>
          <w:sz w:val="18"/>
          <w:szCs w:val="18"/>
        </w:rPr>
        <w:t xml:space="preserve"> </w:t>
      </w:r>
      <w:r w:rsidRPr="003C138F">
        <w:rPr>
          <w:rFonts w:ascii="Arial" w:hAnsi="Arial" w:cs="Arial"/>
          <w:sz w:val="18"/>
          <w:szCs w:val="18"/>
        </w:rPr>
        <w:t>y tuvieran que tomar decisiones, valorar actuaciones, emitir juicios fundamentados.</w:t>
      </w:r>
    </w:p>
  </w:footnote>
  <w:footnote w:id="4">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A. (2010). Evolución de la mortalidad: pasado, presente y futuro. </w:t>
      </w:r>
      <w:r w:rsidRPr="00295687">
        <w:rPr>
          <w:rFonts w:ascii="Arial" w:hAnsi="Arial" w:cs="Arial"/>
          <w:i/>
          <w:sz w:val="18"/>
          <w:szCs w:val="18"/>
        </w:rPr>
        <w:t>Los grandes problemas de México. Población (</w:t>
      </w:r>
      <w:r w:rsidRPr="00295687">
        <w:rPr>
          <w:rFonts w:ascii="Arial" w:hAnsi="Arial" w:cs="Arial"/>
          <w:sz w:val="18"/>
          <w:szCs w:val="18"/>
        </w:rPr>
        <w:t>pp.79-104)</w:t>
      </w:r>
      <w:r w:rsidRPr="00295687">
        <w:rPr>
          <w:rFonts w:ascii="Arial" w:hAnsi="Arial" w:cs="Arial"/>
          <w:i/>
          <w:sz w:val="18"/>
          <w:szCs w:val="18"/>
        </w:rPr>
        <w:t>.</w:t>
      </w:r>
      <w:r w:rsidRPr="00295687">
        <w:rPr>
          <w:rFonts w:ascii="Arial" w:hAnsi="Arial" w:cs="Arial"/>
          <w:sz w:val="18"/>
          <w:szCs w:val="18"/>
        </w:rPr>
        <w:t xml:space="preserve"> B. García y M. Ordorica (coords.). El Colegio de México: México, D.F.</w:t>
      </w:r>
    </w:p>
  </w:footnote>
  <w:footnote w:id="5">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Cárdenas, R. (2010). Desafíos de la atención a la salud. </w:t>
      </w:r>
      <w:r w:rsidRPr="00295687">
        <w:rPr>
          <w:rFonts w:ascii="Arial" w:hAnsi="Arial" w:cs="Arial"/>
          <w:i/>
          <w:sz w:val="18"/>
          <w:szCs w:val="18"/>
        </w:rPr>
        <w:t>Los grandes problemas de México. Población (</w:t>
      </w:r>
      <w:r w:rsidRPr="00295687">
        <w:rPr>
          <w:rFonts w:ascii="Arial" w:hAnsi="Arial" w:cs="Arial"/>
          <w:sz w:val="18"/>
          <w:szCs w:val="18"/>
        </w:rPr>
        <w:t>pp.105-136)</w:t>
      </w:r>
      <w:r w:rsidRPr="00295687">
        <w:rPr>
          <w:rFonts w:ascii="Arial" w:hAnsi="Arial" w:cs="Arial"/>
          <w:i/>
          <w:sz w:val="18"/>
          <w:szCs w:val="18"/>
        </w:rPr>
        <w:t>.</w:t>
      </w:r>
      <w:r w:rsidRPr="00295687">
        <w:rPr>
          <w:rFonts w:ascii="Arial" w:hAnsi="Arial" w:cs="Arial"/>
          <w:sz w:val="18"/>
          <w:szCs w:val="18"/>
        </w:rPr>
        <w:t xml:space="preserve"> B. García y M. Ordorica (coords.). El Colegio de México: México, D.F.</w:t>
      </w:r>
    </w:p>
  </w:footnote>
  <w:footnote w:id="6">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Proyecciones de población de México y de las entidades federativas 2016-2050. Consultado el 1/02/2019 de http://www.conapo.gob.mx.</w:t>
      </w:r>
    </w:p>
  </w:footnote>
  <w:footnote w:id="7">
    <w:p w:rsidR="00E96174" w:rsidRPr="00295687" w:rsidRDefault="00E96174"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r w:rsidRPr="00295687">
        <w:rPr>
          <w:rFonts w:ascii="Arial" w:hAnsi="Arial" w:cs="Arial"/>
          <w:i/>
          <w:sz w:val="18"/>
          <w:szCs w:val="18"/>
        </w:rPr>
        <w:t>Ibídem</w:t>
      </w:r>
      <w:r w:rsidRPr="00295687">
        <w:rPr>
          <w:rFonts w:ascii="Arial" w:hAnsi="Arial" w:cs="Arial"/>
          <w:sz w:val="18"/>
          <w:szCs w:val="18"/>
        </w:rPr>
        <w:t>.</w:t>
      </w:r>
    </w:p>
  </w:footnote>
  <w:footnote w:id="8">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Ortiz, M., Gerónimo, L. (2008). El envejecimiento en México. Aspectos territoriales y repercusiones sociales. </w:t>
      </w:r>
      <w:r w:rsidRPr="00295687">
        <w:rPr>
          <w:rFonts w:ascii="Arial" w:hAnsi="Arial" w:cs="Arial"/>
          <w:i/>
          <w:sz w:val="18"/>
          <w:szCs w:val="18"/>
        </w:rPr>
        <w:t>Trayectorias</w:t>
      </w:r>
      <w:r w:rsidRPr="00295687">
        <w:rPr>
          <w:rFonts w:ascii="Arial" w:hAnsi="Arial" w:cs="Arial"/>
          <w:sz w:val="18"/>
          <w:szCs w:val="18"/>
        </w:rPr>
        <w:t>, 10(26), pp. 79-92.</w:t>
      </w:r>
    </w:p>
  </w:footnote>
  <w:footnote w:id="9">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w:t>
      </w:r>
      <w:r w:rsidRPr="00295687">
        <w:rPr>
          <w:rFonts w:ascii="Arial" w:hAnsi="Arial" w:cs="Arial"/>
          <w:i/>
          <w:sz w:val="18"/>
          <w:szCs w:val="18"/>
        </w:rPr>
        <w:t>Op. cit.</w:t>
      </w:r>
      <w:r w:rsidRPr="00295687">
        <w:rPr>
          <w:rFonts w:ascii="Arial" w:hAnsi="Arial" w:cs="Arial"/>
          <w:sz w:val="18"/>
          <w:szCs w:val="18"/>
        </w:rPr>
        <w:t>, s.p.</w:t>
      </w:r>
    </w:p>
  </w:footnote>
  <w:footnote w:id="10">
    <w:p w:rsidR="00E96174" w:rsidRPr="00295687" w:rsidRDefault="00E96174"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Sánchez, D. (2007). Envejecimiento demográfico urbano y sus repercusiones socioespaciales en México. Retos de la planeación gerontológica. </w:t>
      </w:r>
      <w:r w:rsidRPr="00295687">
        <w:rPr>
          <w:rFonts w:ascii="Arial" w:hAnsi="Arial" w:cs="Arial"/>
          <w:i/>
          <w:sz w:val="18"/>
          <w:szCs w:val="18"/>
        </w:rPr>
        <w:t>Revista de Geografía Norte Grande</w:t>
      </w:r>
      <w:r w:rsidRPr="00295687">
        <w:rPr>
          <w:rFonts w:ascii="Arial" w:hAnsi="Arial" w:cs="Arial"/>
          <w:sz w:val="18"/>
          <w:szCs w:val="18"/>
        </w:rPr>
        <w:t>, 38, pp. 45-61.</w:t>
      </w:r>
    </w:p>
  </w:footnote>
  <w:footnote w:id="11">
    <w:p w:rsidR="00E96174" w:rsidRPr="00295687" w:rsidRDefault="00E96174"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INEGI (2016). </w:t>
      </w:r>
      <w:r w:rsidRPr="00295687">
        <w:rPr>
          <w:rFonts w:ascii="Arial" w:hAnsi="Arial" w:cs="Arial"/>
          <w:i/>
          <w:sz w:val="18"/>
          <w:szCs w:val="18"/>
        </w:rPr>
        <w:t>Encuesta Intercensal 2015</w:t>
      </w:r>
      <w:r w:rsidRPr="00295687">
        <w:rPr>
          <w:rFonts w:ascii="Arial" w:hAnsi="Arial" w:cs="Arial"/>
          <w:sz w:val="18"/>
          <w:szCs w:val="18"/>
        </w:rPr>
        <w:t>. Consultado el 02/02/2019 de https://www.inegi.org.mx/programas/intercensal/2015/.</w:t>
      </w:r>
    </w:p>
  </w:footnote>
  <w:footnote w:id="12">
    <w:p w:rsidR="00E96174" w:rsidRPr="00295687" w:rsidRDefault="00E96174" w:rsidP="006D5DBD">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Negrete, M. (2003). El envejecimiento poblacional en la Ciudad de México: evolución y pautas de distribución espacial entre 1970 y 2000. </w:t>
      </w:r>
      <w:r w:rsidRPr="00295687">
        <w:rPr>
          <w:rFonts w:ascii="Arial" w:hAnsi="Arial" w:cs="Arial"/>
          <w:i/>
          <w:sz w:val="18"/>
          <w:szCs w:val="18"/>
        </w:rPr>
        <w:t>Papeles de Población</w:t>
      </w:r>
      <w:r w:rsidRPr="00295687">
        <w:rPr>
          <w:rFonts w:ascii="Arial" w:hAnsi="Arial" w:cs="Arial"/>
          <w:sz w:val="18"/>
          <w:szCs w:val="18"/>
        </w:rPr>
        <w:t>, 9(37), pp. 107-127.</w:t>
      </w:r>
    </w:p>
  </w:footnote>
  <w:footnote w:id="13">
    <w:p w:rsidR="00E96174" w:rsidRPr="00295687" w:rsidRDefault="00E96174" w:rsidP="006D5DBD">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Ordorica, M. (2010). Las proyecciones de población hasta mitad del siglo XXI. </w:t>
      </w:r>
      <w:r w:rsidRPr="00295687">
        <w:rPr>
          <w:rFonts w:ascii="Arial" w:hAnsi="Arial" w:cs="Arial"/>
          <w:i/>
          <w:sz w:val="18"/>
          <w:szCs w:val="18"/>
        </w:rPr>
        <w:t>Los grandes problemas de México. Población</w:t>
      </w:r>
      <w:r w:rsidRPr="00295687">
        <w:rPr>
          <w:rFonts w:ascii="Arial" w:hAnsi="Arial" w:cs="Arial"/>
          <w:sz w:val="18"/>
          <w:szCs w:val="18"/>
        </w:rPr>
        <w:t xml:space="preserve"> (pp.29-52). B. García y M. Ordorica (coords.). El Colegio de México: México, D.F.</w:t>
      </w:r>
    </w:p>
  </w:footnote>
  <w:footnote w:id="14">
    <w:p w:rsidR="00E96174" w:rsidRPr="00295687" w:rsidRDefault="00E96174" w:rsidP="006D5DBD">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Frenk, J. et al. (1991). La transición epidemiológica en América Latina (The epidemiologic transition in Latin America). </w:t>
      </w:r>
      <w:r w:rsidRPr="00295687">
        <w:rPr>
          <w:rFonts w:ascii="Arial" w:hAnsi="Arial" w:cs="Arial"/>
          <w:i/>
          <w:sz w:val="18"/>
          <w:szCs w:val="18"/>
        </w:rPr>
        <w:t>Boletín de la Oficina Sanitaria Panamericana</w:t>
      </w:r>
      <w:r w:rsidRPr="00295687">
        <w:rPr>
          <w:rFonts w:ascii="Arial" w:hAnsi="Arial" w:cs="Arial"/>
          <w:sz w:val="18"/>
          <w:szCs w:val="18"/>
        </w:rPr>
        <w:t>, 111(6); pp. 485-496.</w:t>
      </w:r>
    </w:p>
  </w:footnote>
  <w:footnote w:id="15">
    <w:p w:rsidR="00E96174" w:rsidRPr="00295687" w:rsidRDefault="00E96174" w:rsidP="006D5DBD">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w:t>
      </w:r>
      <w:r w:rsidRPr="00295687">
        <w:rPr>
          <w:rFonts w:ascii="Arial" w:hAnsi="Arial" w:cs="Arial"/>
          <w:i/>
          <w:sz w:val="18"/>
          <w:szCs w:val="18"/>
        </w:rPr>
        <w:t>Op. cit.</w:t>
      </w:r>
      <w:r w:rsidRPr="00295687">
        <w:rPr>
          <w:rFonts w:ascii="Arial" w:hAnsi="Arial" w:cs="Arial"/>
          <w:sz w:val="18"/>
          <w:szCs w:val="18"/>
        </w:rPr>
        <w:t>, p.81.</w:t>
      </w:r>
    </w:p>
  </w:footnote>
  <w:footnote w:id="16">
    <w:p w:rsidR="00E96174" w:rsidRPr="00FF6B6A" w:rsidRDefault="00E96174" w:rsidP="006D5DBD">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Frenk, J., Bobadilla, J., Stern, C., Frejka, T., Lozano, R. (1991a). Elementos para una teoría de la transición en salud. </w:t>
      </w:r>
      <w:r w:rsidRPr="00FF6B6A">
        <w:rPr>
          <w:rFonts w:ascii="Arial" w:hAnsi="Arial" w:cs="Arial"/>
          <w:i/>
          <w:sz w:val="18"/>
          <w:szCs w:val="18"/>
        </w:rPr>
        <w:t>Salud Pública de México</w:t>
      </w:r>
      <w:r w:rsidRPr="00FF6B6A">
        <w:rPr>
          <w:rFonts w:ascii="Arial" w:hAnsi="Arial" w:cs="Arial"/>
          <w:sz w:val="18"/>
          <w:szCs w:val="18"/>
        </w:rPr>
        <w:t>, 33(5), pp. 448-462.</w:t>
      </w:r>
    </w:p>
  </w:footnote>
  <w:footnote w:id="17">
    <w:p w:rsidR="00E96174" w:rsidRPr="00FF6B6A" w:rsidRDefault="00E96174" w:rsidP="006D5DBD">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Frenk </w:t>
      </w:r>
      <w:r w:rsidRPr="00FF6B6A">
        <w:rPr>
          <w:rFonts w:ascii="Arial" w:hAnsi="Arial" w:cs="Arial"/>
          <w:i/>
          <w:sz w:val="18"/>
          <w:szCs w:val="18"/>
        </w:rPr>
        <w:t>et</w:t>
      </w:r>
      <w:r>
        <w:rPr>
          <w:rFonts w:ascii="Arial" w:hAnsi="Arial" w:cs="Arial"/>
          <w:i/>
          <w:sz w:val="18"/>
          <w:szCs w:val="18"/>
        </w:rPr>
        <w:t xml:space="preserve"> </w:t>
      </w:r>
      <w:r w:rsidRPr="00FF6B6A">
        <w:rPr>
          <w:rFonts w:ascii="Arial" w:hAnsi="Arial" w:cs="Arial"/>
          <w:i/>
          <w:sz w:val="18"/>
          <w:szCs w:val="18"/>
        </w:rPr>
        <w:t>al</w:t>
      </w:r>
      <w:r w:rsidRPr="00FF6B6A">
        <w:rPr>
          <w:rFonts w:ascii="Arial" w:hAnsi="Arial" w:cs="Arial"/>
          <w:sz w:val="18"/>
          <w:szCs w:val="18"/>
        </w:rPr>
        <w:t xml:space="preserve">, </w:t>
      </w:r>
      <w:r w:rsidRPr="00FF6B6A">
        <w:rPr>
          <w:rFonts w:ascii="Arial" w:hAnsi="Arial" w:cs="Arial"/>
          <w:i/>
          <w:sz w:val="18"/>
          <w:szCs w:val="18"/>
        </w:rPr>
        <w:t>Op. cit.</w:t>
      </w:r>
      <w:r w:rsidRPr="00FF6B6A">
        <w:rPr>
          <w:rFonts w:ascii="Arial" w:hAnsi="Arial" w:cs="Arial"/>
          <w:sz w:val="18"/>
          <w:szCs w:val="18"/>
        </w:rPr>
        <w:t>, p. 487.</w:t>
      </w:r>
    </w:p>
  </w:footnote>
  <w:footnote w:id="18">
    <w:p w:rsidR="00E96174" w:rsidRPr="00FF6B6A" w:rsidRDefault="00E96174" w:rsidP="006D5DBD">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SSA (s.f.). Anuario de Morbilidad de México, 1984-2017. Consultado el 14/02/2019 de http://187.191.75.115/anuario/html/morbilidad_nacional.html</w:t>
      </w:r>
    </w:p>
  </w:footnote>
  <w:footnote w:id="19">
    <w:p w:rsidR="00E96174" w:rsidRPr="00FF6B6A" w:rsidRDefault="00E96174" w:rsidP="006D5DBD">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r w:rsidRPr="00FF6B6A">
        <w:rPr>
          <w:rFonts w:ascii="Arial" w:hAnsi="Arial" w:cs="Arial"/>
          <w:i/>
          <w:sz w:val="18"/>
          <w:szCs w:val="18"/>
        </w:rPr>
        <w:t>Ibídem</w:t>
      </w:r>
      <w:r w:rsidRPr="00FF6B6A">
        <w:rPr>
          <w:rFonts w:ascii="Arial" w:hAnsi="Arial" w:cs="Arial"/>
          <w:sz w:val="18"/>
          <w:szCs w:val="18"/>
        </w:rPr>
        <w:t>.</w:t>
      </w:r>
    </w:p>
  </w:footnote>
  <w:footnote w:id="20">
    <w:p w:rsidR="00E96174" w:rsidRPr="00FC7B12" w:rsidRDefault="00E96174" w:rsidP="006D5DBD">
      <w:pPr>
        <w:pStyle w:val="Textonotapie"/>
        <w:jc w:val="both"/>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Mina, </w:t>
      </w:r>
      <w:r w:rsidRPr="00FC7B12">
        <w:rPr>
          <w:rFonts w:ascii="Arial" w:hAnsi="Arial" w:cs="Arial"/>
          <w:i/>
          <w:sz w:val="18"/>
          <w:szCs w:val="18"/>
        </w:rPr>
        <w:t>Op. cit.</w:t>
      </w:r>
      <w:r w:rsidRPr="00FC7B12">
        <w:rPr>
          <w:rFonts w:ascii="Arial" w:hAnsi="Arial" w:cs="Arial"/>
          <w:sz w:val="18"/>
          <w:szCs w:val="18"/>
        </w:rPr>
        <w:t>, p. 92.</w:t>
      </w:r>
    </w:p>
  </w:footnote>
  <w:footnote w:id="21">
    <w:p w:rsidR="00E96174" w:rsidRPr="00FC7B12" w:rsidRDefault="00E96174" w:rsidP="006D5DBD">
      <w:pPr>
        <w:pStyle w:val="Textonotapie"/>
        <w:jc w:val="both"/>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Solís, P. (1999). El ingreso a la cuarta edad en México: una aproximación a su intensidad, calendario e implicaciones en el apoyo familiar y social de los ancianos. </w:t>
      </w:r>
      <w:r w:rsidRPr="00FC7B12">
        <w:rPr>
          <w:rFonts w:ascii="Arial" w:hAnsi="Arial" w:cs="Arial"/>
          <w:i/>
          <w:sz w:val="18"/>
          <w:szCs w:val="18"/>
        </w:rPr>
        <w:t>Papeles de Población</w:t>
      </w:r>
      <w:r w:rsidRPr="00FC7B12">
        <w:rPr>
          <w:rFonts w:ascii="Arial" w:hAnsi="Arial" w:cs="Arial"/>
          <w:sz w:val="18"/>
          <w:szCs w:val="18"/>
        </w:rPr>
        <w:t>, 5(19), pp. 43-63.</w:t>
      </w:r>
    </w:p>
  </w:footnote>
  <w:footnote w:id="22">
    <w:p w:rsidR="00E96174" w:rsidRPr="00FC7B12" w:rsidRDefault="00E96174"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3">
    <w:p w:rsidR="00E96174" w:rsidRPr="00FC7B12" w:rsidRDefault="00E96174"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4">
    <w:p w:rsidR="00E96174" w:rsidRPr="009C2DF8" w:rsidRDefault="00E96174"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R., Gómez, H., Garrido, F., Jiménez, A., Campuzano, J., Franco, F., …Murray, C. (2013). La carga de enfermedad, lesiones, factores de riesgo y desafíos para el sistema de salud en México. </w:t>
      </w:r>
      <w:r w:rsidRPr="009C2DF8">
        <w:rPr>
          <w:rFonts w:ascii="Arial" w:hAnsi="Arial" w:cs="Arial"/>
          <w:i/>
          <w:sz w:val="18"/>
          <w:szCs w:val="18"/>
        </w:rPr>
        <w:t>Salud Pública de México</w:t>
      </w:r>
      <w:r w:rsidRPr="009C2DF8">
        <w:rPr>
          <w:rFonts w:ascii="Arial" w:hAnsi="Arial" w:cs="Arial"/>
          <w:sz w:val="18"/>
          <w:szCs w:val="18"/>
        </w:rPr>
        <w:t>, 55(6), pp. 580-594.</w:t>
      </w:r>
    </w:p>
  </w:footnote>
  <w:footnote w:id="25">
    <w:p w:rsidR="00E96174" w:rsidRPr="009C2DF8" w:rsidRDefault="00E96174" w:rsidP="00931745">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Córdoba, J., Barriguete, J., Lara, A., Barquera, S., Rosas, M., Hernández, M.,</w:t>
      </w:r>
      <w:r>
        <w:rPr>
          <w:rFonts w:ascii="Arial" w:hAnsi="Arial" w:cs="Arial"/>
          <w:sz w:val="18"/>
          <w:szCs w:val="18"/>
        </w:rPr>
        <w:t xml:space="preserve">… </w:t>
      </w:r>
      <w:r w:rsidRPr="009C2DF8">
        <w:rPr>
          <w:rFonts w:ascii="Arial" w:hAnsi="Arial" w:cs="Arial"/>
          <w:sz w:val="18"/>
          <w:szCs w:val="18"/>
        </w:rPr>
        <w:t xml:space="preserve">Aguilar, C. (2008). Las enfermedades crónicas no transmisibles en México: sinopsis epidemiológica y prevención integral. </w:t>
      </w:r>
      <w:r w:rsidRPr="009C2DF8">
        <w:rPr>
          <w:rFonts w:ascii="Arial" w:hAnsi="Arial" w:cs="Arial"/>
          <w:i/>
          <w:sz w:val="18"/>
          <w:szCs w:val="18"/>
        </w:rPr>
        <w:t>Salud Pública de México</w:t>
      </w:r>
      <w:r w:rsidRPr="009C2DF8">
        <w:rPr>
          <w:rFonts w:ascii="Arial" w:hAnsi="Arial" w:cs="Arial"/>
          <w:sz w:val="18"/>
          <w:szCs w:val="18"/>
        </w:rPr>
        <w:t xml:space="preserve">, 33(5), pp. 448-462. </w:t>
      </w:r>
    </w:p>
  </w:footnote>
  <w:footnote w:id="26">
    <w:p w:rsidR="00E96174" w:rsidRPr="009C2DF8" w:rsidRDefault="00E96174" w:rsidP="00931745">
      <w:pPr>
        <w:pStyle w:val="Textonotapie"/>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w:t>
      </w:r>
      <w:r w:rsidRPr="009C2DF8">
        <w:rPr>
          <w:rFonts w:ascii="Arial" w:hAnsi="Arial" w:cs="Arial"/>
          <w:i/>
          <w:sz w:val="18"/>
          <w:szCs w:val="18"/>
        </w:rPr>
        <w:t>et al</w:t>
      </w:r>
      <w:r w:rsidRPr="009C2DF8">
        <w:rPr>
          <w:rFonts w:ascii="Arial" w:hAnsi="Arial" w:cs="Arial"/>
          <w:sz w:val="18"/>
          <w:szCs w:val="18"/>
        </w:rPr>
        <w:t xml:space="preserve">, </w:t>
      </w:r>
      <w:r w:rsidRPr="009C2DF8">
        <w:rPr>
          <w:rFonts w:ascii="Arial" w:hAnsi="Arial" w:cs="Arial"/>
          <w:i/>
          <w:sz w:val="18"/>
          <w:szCs w:val="18"/>
        </w:rPr>
        <w:t>Op. cit.</w:t>
      </w:r>
      <w:r w:rsidRPr="009C2DF8">
        <w:rPr>
          <w:rFonts w:ascii="Arial" w:hAnsi="Arial" w:cs="Arial"/>
          <w:sz w:val="18"/>
          <w:szCs w:val="18"/>
        </w:rPr>
        <w:t xml:space="preserve">, p. 83. </w:t>
      </w:r>
    </w:p>
  </w:footnote>
  <w:footnote w:id="27">
    <w:p w:rsidR="00E96174" w:rsidRPr="009C2DF8" w:rsidRDefault="00E96174" w:rsidP="006D5DBD">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INEGI (2019). Defunciones generales en México 2017. Consultado el 05/02/2019 de https://www.inegi.org.mx/programas/mortalidad/.</w:t>
      </w:r>
    </w:p>
  </w:footnote>
  <w:footnote w:id="28">
    <w:p w:rsidR="00E96174" w:rsidRPr="009C2DF8" w:rsidRDefault="00E96174" w:rsidP="006D5DBD">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Se considera una tasa bruta de mortalidad por cada 10,000 habitantes.</w:t>
      </w:r>
    </w:p>
  </w:footnote>
  <w:footnote w:id="29">
    <w:p w:rsidR="00E96174" w:rsidRPr="009C2DF8" w:rsidRDefault="00E96174"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Frenk </w:t>
      </w:r>
      <w:r w:rsidRPr="009C2DF8">
        <w:rPr>
          <w:rFonts w:ascii="Arial" w:hAnsi="Arial" w:cs="Arial"/>
          <w:i/>
          <w:sz w:val="18"/>
          <w:szCs w:val="18"/>
          <w:lang w:val="en-US"/>
        </w:rPr>
        <w:t>et al</w:t>
      </w:r>
      <w:r w:rsidRPr="009C2DF8">
        <w:rPr>
          <w:rFonts w:ascii="Arial" w:hAnsi="Arial" w:cs="Arial"/>
          <w:sz w:val="18"/>
          <w:szCs w:val="18"/>
          <w:lang w:val="en-US"/>
        </w:rPr>
        <w:t xml:space="preserve"> (1991), </w:t>
      </w:r>
      <w:r w:rsidRPr="009C2DF8">
        <w:rPr>
          <w:rFonts w:ascii="Arial" w:hAnsi="Arial" w:cs="Arial"/>
          <w:i/>
          <w:sz w:val="18"/>
          <w:szCs w:val="18"/>
          <w:lang w:val="en-US"/>
        </w:rPr>
        <w:t>Op. cit.</w:t>
      </w:r>
      <w:r w:rsidRPr="009C2DF8">
        <w:rPr>
          <w:rFonts w:ascii="Arial" w:hAnsi="Arial" w:cs="Arial"/>
          <w:sz w:val="18"/>
          <w:szCs w:val="18"/>
          <w:lang w:val="en-US"/>
        </w:rPr>
        <w:t xml:space="preserve">, p. 487. </w:t>
      </w:r>
    </w:p>
  </w:footnote>
  <w:footnote w:id="30">
    <w:p w:rsidR="00E96174" w:rsidRPr="009C2DF8" w:rsidRDefault="00E96174" w:rsidP="00931745">
      <w:pPr>
        <w:pStyle w:val="Textonotapie"/>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INEGI (2019), </w:t>
      </w:r>
      <w:r w:rsidRPr="009C2DF8">
        <w:rPr>
          <w:rFonts w:ascii="Arial" w:hAnsi="Arial" w:cs="Arial"/>
          <w:i/>
          <w:sz w:val="18"/>
          <w:szCs w:val="18"/>
          <w:lang w:val="en-US"/>
        </w:rPr>
        <w:t>Op. cit.</w:t>
      </w:r>
      <w:r w:rsidRPr="009C2DF8">
        <w:rPr>
          <w:rFonts w:ascii="Arial" w:hAnsi="Arial" w:cs="Arial"/>
          <w:sz w:val="18"/>
          <w:szCs w:val="18"/>
          <w:lang w:val="en-US"/>
        </w:rPr>
        <w:t>, s.p.</w:t>
      </w:r>
    </w:p>
  </w:footnote>
  <w:footnote w:id="31">
    <w:p w:rsidR="00E96174" w:rsidRPr="00AB06A4" w:rsidRDefault="00E96174"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r w:rsidRPr="00AB06A4">
        <w:rPr>
          <w:rFonts w:ascii="Arial" w:hAnsi="Arial" w:cs="Arial"/>
          <w:sz w:val="18"/>
          <w:szCs w:val="18"/>
          <w:lang w:val="en-US"/>
        </w:rPr>
        <w:t xml:space="preserve">. </w:t>
      </w:r>
    </w:p>
  </w:footnote>
  <w:footnote w:id="32">
    <w:p w:rsidR="00E96174" w:rsidRPr="00AB06A4" w:rsidRDefault="00E96174"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r w:rsidRPr="00AB06A4">
        <w:rPr>
          <w:rFonts w:ascii="Arial" w:hAnsi="Arial" w:cs="Arial"/>
          <w:sz w:val="18"/>
          <w:szCs w:val="18"/>
          <w:lang w:val="en-US"/>
        </w:rPr>
        <w:t>.</w:t>
      </w:r>
    </w:p>
  </w:footnote>
  <w:footnote w:id="33">
    <w:p w:rsidR="00E96174" w:rsidRPr="00AB06A4" w:rsidRDefault="00E96174"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p>
  </w:footnote>
  <w:footnote w:id="34">
    <w:p w:rsidR="00E96174" w:rsidRPr="00C234CD" w:rsidRDefault="00E96174" w:rsidP="006D5DBD">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Heinze, G. Olmedo, V., Bazán, G., Bernard, N., Guízar, D. (2018). </w:t>
      </w:r>
      <w:r w:rsidRPr="00C234CD">
        <w:rPr>
          <w:rFonts w:ascii="Arial" w:hAnsi="Arial" w:cs="Arial"/>
          <w:sz w:val="18"/>
          <w:szCs w:val="18"/>
        </w:rPr>
        <w:t xml:space="preserve">Los médicos especialistas en México. </w:t>
      </w:r>
      <w:r w:rsidRPr="00C234CD">
        <w:rPr>
          <w:rFonts w:ascii="Arial" w:hAnsi="Arial" w:cs="Arial"/>
          <w:i/>
          <w:sz w:val="18"/>
          <w:szCs w:val="18"/>
        </w:rPr>
        <w:t>Gaceta Médica de México</w:t>
      </w:r>
      <w:r w:rsidRPr="00C234CD">
        <w:rPr>
          <w:rFonts w:ascii="Arial" w:hAnsi="Arial" w:cs="Arial"/>
          <w:sz w:val="18"/>
          <w:szCs w:val="18"/>
        </w:rPr>
        <w:t>, vol. 154, pp. 342-351.</w:t>
      </w:r>
    </w:p>
  </w:footnote>
  <w:footnote w:id="35">
    <w:p w:rsidR="00E96174" w:rsidRPr="00C234CD" w:rsidRDefault="00E96174" w:rsidP="006D5DBD">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OCDE (2017). Health at a Glance 2017: OECD Indicators. </w:t>
      </w:r>
      <w:r w:rsidRPr="00C234CD">
        <w:rPr>
          <w:rFonts w:ascii="Arial" w:hAnsi="Arial" w:cs="Arial"/>
          <w:sz w:val="18"/>
          <w:szCs w:val="18"/>
        </w:rPr>
        <w:t>OCDE Publicaciones: París.</w:t>
      </w:r>
    </w:p>
  </w:footnote>
  <w:footnote w:id="36">
    <w:p w:rsidR="00E96174" w:rsidRPr="00C234CD" w:rsidRDefault="00E96174" w:rsidP="006D5DBD">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37">
    <w:p w:rsidR="00E96174" w:rsidRPr="006D5DBD" w:rsidRDefault="00E96174" w:rsidP="006D5DBD">
      <w:pPr>
        <w:pStyle w:val="Textonotapie"/>
        <w:jc w:val="both"/>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Heinze </w:t>
      </w:r>
      <w:r w:rsidRPr="006D5DBD">
        <w:rPr>
          <w:rFonts w:ascii="Arial" w:hAnsi="Arial" w:cs="Arial"/>
          <w:i/>
          <w:sz w:val="18"/>
          <w:szCs w:val="18"/>
        </w:rPr>
        <w:t>et. al.</w:t>
      </w:r>
      <w:r w:rsidRPr="006D5DBD">
        <w:rPr>
          <w:rFonts w:ascii="Arial" w:hAnsi="Arial" w:cs="Arial"/>
          <w:sz w:val="18"/>
          <w:szCs w:val="18"/>
        </w:rPr>
        <w:t xml:space="preserve">, </w:t>
      </w:r>
      <w:r w:rsidRPr="006D5DBD">
        <w:rPr>
          <w:rFonts w:ascii="Arial" w:hAnsi="Arial" w:cs="Arial"/>
          <w:i/>
          <w:sz w:val="18"/>
          <w:szCs w:val="18"/>
        </w:rPr>
        <w:t>op. cit.</w:t>
      </w:r>
      <w:r w:rsidRPr="006D5DBD">
        <w:rPr>
          <w:rFonts w:ascii="Arial" w:hAnsi="Arial" w:cs="Arial"/>
          <w:sz w:val="18"/>
          <w:szCs w:val="18"/>
        </w:rPr>
        <w:t>, p. 346.</w:t>
      </w:r>
    </w:p>
  </w:footnote>
  <w:footnote w:id="38">
    <w:p w:rsidR="00E96174" w:rsidRPr="006D5DBD" w:rsidRDefault="00E96174" w:rsidP="006D5DBD">
      <w:pPr>
        <w:pStyle w:val="Textonotapie"/>
        <w:jc w:val="both"/>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w:t>
      </w:r>
      <w:r w:rsidRPr="006D5DBD">
        <w:rPr>
          <w:rFonts w:ascii="Arial" w:hAnsi="Arial" w:cs="Arial"/>
          <w:i/>
          <w:sz w:val="18"/>
          <w:szCs w:val="18"/>
        </w:rPr>
        <w:t>Ibídem</w:t>
      </w:r>
      <w:r w:rsidRPr="006D5DBD">
        <w:rPr>
          <w:rFonts w:ascii="Arial" w:hAnsi="Arial" w:cs="Arial"/>
          <w:sz w:val="18"/>
          <w:szCs w:val="18"/>
        </w:rPr>
        <w:t>.</w:t>
      </w:r>
    </w:p>
  </w:footnote>
  <w:footnote w:id="39">
    <w:p w:rsidR="00E96174" w:rsidRPr="006D5DBD" w:rsidRDefault="00E96174" w:rsidP="006D5DBD">
      <w:pPr>
        <w:pStyle w:val="Textonotapie"/>
        <w:jc w:val="both"/>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SSA (2019). </w:t>
      </w:r>
      <w:r w:rsidRPr="006D5DBD">
        <w:rPr>
          <w:rFonts w:ascii="Arial" w:hAnsi="Arial" w:cs="Arial"/>
          <w:i/>
          <w:sz w:val="18"/>
          <w:szCs w:val="18"/>
        </w:rPr>
        <w:t>Recursos en Salud 2017</w:t>
      </w:r>
      <w:r w:rsidRPr="006D5DBD">
        <w:rPr>
          <w:rFonts w:ascii="Arial" w:hAnsi="Arial" w:cs="Arial"/>
          <w:sz w:val="18"/>
          <w:szCs w:val="18"/>
        </w:rPr>
        <w:t>. Consultado el 28/02/2019 de https://datos.gob.mx/busca/dataset/recursos-en-salud-nivel-central</w:t>
      </w:r>
    </w:p>
  </w:footnote>
  <w:footnote w:id="40">
    <w:p w:rsidR="00E96174" w:rsidRPr="006D5DBD" w:rsidRDefault="00E96174" w:rsidP="006D5DBD">
      <w:pPr>
        <w:pStyle w:val="Textonotapie"/>
        <w:jc w:val="both"/>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INEGI (2018). </w:t>
      </w:r>
      <w:r w:rsidRPr="006D5DBD">
        <w:rPr>
          <w:rFonts w:ascii="Arial" w:hAnsi="Arial" w:cs="Arial"/>
          <w:i/>
          <w:sz w:val="18"/>
          <w:szCs w:val="18"/>
        </w:rPr>
        <w:t>Salud en establecimientos particulares 2017</w:t>
      </w:r>
      <w:r w:rsidRPr="006D5DBD">
        <w:rPr>
          <w:rFonts w:ascii="Arial" w:hAnsi="Arial" w:cs="Arial"/>
          <w:sz w:val="18"/>
          <w:szCs w:val="18"/>
        </w:rPr>
        <w:t>. Consultado el 8/03/2019 de https://www.inegi.org.mx/programas/salud/default.html#Datos_abiertos</w:t>
      </w:r>
    </w:p>
  </w:footnote>
  <w:footnote w:id="41">
    <w:p w:rsidR="00E96174" w:rsidRPr="006D5DBD" w:rsidRDefault="00E96174" w:rsidP="006D5DBD">
      <w:pPr>
        <w:pStyle w:val="Textonotapie"/>
        <w:jc w:val="both"/>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SSA (2017). </w:t>
      </w:r>
      <w:r w:rsidRPr="006D5DBD">
        <w:rPr>
          <w:rFonts w:ascii="Arial" w:hAnsi="Arial" w:cs="Arial"/>
          <w:i/>
          <w:sz w:val="18"/>
          <w:szCs w:val="18"/>
        </w:rPr>
        <w:t>Boletín de Información Estadística No. 36 Año 2016. Volumen III. Servicios otorgados y programas sustantivos.</w:t>
      </w:r>
      <w:r w:rsidRPr="006D5DBD">
        <w:rPr>
          <w:rFonts w:ascii="Arial" w:hAnsi="Arial" w:cs="Arial"/>
          <w:sz w:val="18"/>
          <w:szCs w:val="18"/>
        </w:rPr>
        <w:t xml:space="preserve"> Consultado el 01/03/2019 de http://www.dgis.salud.gob.mx/contenidos/publicaciones/p_bie_gobmx.html</w:t>
      </w:r>
    </w:p>
  </w:footnote>
  <w:footnote w:id="42">
    <w:p w:rsidR="00E96174" w:rsidRPr="006D5DBD" w:rsidRDefault="00E96174" w:rsidP="00FC6AEE">
      <w:pPr>
        <w:pStyle w:val="Textonotapie"/>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w:t>
      </w:r>
      <w:r w:rsidRPr="006D5DBD">
        <w:rPr>
          <w:rFonts w:ascii="Arial" w:hAnsi="Arial" w:cs="Arial"/>
          <w:i/>
          <w:sz w:val="18"/>
          <w:szCs w:val="18"/>
        </w:rPr>
        <w:t>Ibídem</w:t>
      </w:r>
      <w:r w:rsidRPr="006D5DBD">
        <w:rPr>
          <w:rFonts w:ascii="Arial" w:hAnsi="Arial" w:cs="Arial"/>
          <w:sz w:val="18"/>
          <w:szCs w:val="18"/>
        </w:rPr>
        <w:t>.</w:t>
      </w:r>
    </w:p>
  </w:footnote>
  <w:footnote w:id="43">
    <w:p w:rsidR="00E96174" w:rsidRPr="006D5DBD" w:rsidRDefault="00E96174" w:rsidP="00FC6AEE">
      <w:pPr>
        <w:pStyle w:val="Textonotapie"/>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SSA (2019), </w:t>
      </w:r>
      <w:r w:rsidRPr="006D5DBD">
        <w:rPr>
          <w:rFonts w:ascii="Arial" w:hAnsi="Arial" w:cs="Arial"/>
          <w:i/>
          <w:sz w:val="18"/>
          <w:szCs w:val="18"/>
        </w:rPr>
        <w:t>op. cit.</w:t>
      </w:r>
      <w:r w:rsidRPr="006D5DBD">
        <w:rPr>
          <w:rFonts w:ascii="Arial" w:hAnsi="Arial" w:cs="Arial"/>
          <w:sz w:val="18"/>
          <w:szCs w:val="18"/>
        </w:rPr>
        <w:t>, s.p.</w:t>
      </w:r>
    </w:p>
  </w:footnote>
  <w:footnote w:id="44">
    <w:p w:rsidR="00E96174" w:rsidRPr="006D5DBD" w:rsidRDefault="00E96174" w:rsidP="00FC6AEE">
      <w:pPr>
        <w:pStyle w:val="Textonotapie"/>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w:t>
      </w:r>
      <w:r w:rsidRPr="006D5DBD">
        <w:rPr>
          <w:rFonts w:ascii="Arial" w:hAnsi="Arial" w:cs="Arial"/>
          <w:i/>
          <w:sz w:val="18"/>
          <w:szCs w:val="18"/>
        </w:rPr>
        <w:t>Ibídem</w:t>
      </w:r>
      <w:r w:rsidRPr="006D5DBD">
        <w:rPr>
          <w:rFonts w:ascii="Arial" w:hAnsi="Arial" w:cs="Arial"/>
          <w:sz w:val="18"/>
          <w:szCs w:val="18"/>
        </w:rPr>
        <w:t>.</w:t>
      </w:r>
    </w:p>
  </w:footnote>
  <w:footnote w:id="45">
    <w:p w:rsidR="00E96174" w:rsidRPr="006D5DBD" w:rsidRDefault="00E96174" w:rsidP="00FC6AEE">
      <w:pPr>
        <w:pStyle w:val="Textonotapie"/>
        <w:rPr>
          <w:rFonts w:ascii="Arial" w:hAnsi="Arial" w:cs="Arial"/>
          <w:sz w:val="18"/>
          <w:szCs w:val="18"/>
          <w:lang w:val="en-US"/>
        </w:rPr>
      </w:pPr>
      <w:r w:rsidRPr="006D5DBD">
        <w:rPr>
          <w:rStyle w:val="Refdenotaalpie"/>
          <w:rFonts w:ascii="Arial" w:hAnsi="Arial" w:cs="Arial"/>
          <w:sz w:val="18"/>
          <w:szCs w:val="18"/>
        </w:rPr>
        <w:footnoteRef/>
      </w:r>
      <w:r w:rsidRPr="006D5DBD">
        <w:rPr>
          <w:rFonts w:ascii="Arial" w:hAnsi="Arial" w:cs="Arial"/>
          <w:sz w:val="18"/>
          <w:szCs w:val="18"/>
          <w:lang w:val="en-US"/>
        </w:rPr>
        <w:t xml:space="preserve"> </w:t>
      </w:r>
      <w:r w:rsidRPr="006D5DBD">
        <w:rPr>
          <w:rFonts w:ascii="Arial" w:hAnsi="Arial" w:cs="Arial"/>
          <w:i/>
          <w:sz w:val="18"/>
          <w:szCs w:val="18"/>
          <w:lang w:val="en-US"/>
        </w:rPr>
        <w:t>Ibídem</w:t>
      </w:r>
      <w:r w:rsidRPr="006D5DBD">
        <w:rPr>
          <w:rFonts w:ascii="Arial" w:hAnsi="Arial" w:cs="Arial"/>
          <w:sz w:val="18"/>
          <w:szCs w:val="18"/>
          <w:lang w:val="en-US"/>
        </w:rPr>
        <w:t>.</w:t>
      </w:r>
    </w:p>
  </w:footnote>
  <w:footnote w:id="46">
    <w:p w:rsidR="00E96174" w:rsidRPr="006D5DBD" w:rsidRDefault="00E96174" w:rsidP="00FC6AEE">
      <w:pPr>
        <w:pStyle w:val="Textonotapie"/>
        <w:rPr>
          <w:rFonts w:ascii="Arial" w:hAnsi="Arial" w:cs="Arial"/>
          <w:sz w:val="18"/>
          <w:szCs w:val="18"/>
          <w:lang w:val="en-US"/>
        </w:rPr>
      </w:pPr>
      <w:r w:rsidRPr="006D5DBD">
        <w:rPr>
          <w:rStyle w:val="Refdenotaalpie"/>
          <w:rFonts w:ascii="Arial" w:hAnsi="Arial" w:cs="Arial"/>
          <w:sz w:val="18"/>
          <w:szCs w:val="18"/>
        </w:rPr>
        <w:footnoteRef/>
      </w:r>
      <w:r w:rsidRPr="006D5DBD">
        <w:rPr>
          <w:rFonts w:ascii="Arial" w:hAnsi="Arial" w:cs="Arial"/>
          <w:sz w:val="18"/>
          <w:szCs w:val="18"/>
          <w:lang w:val="en-US"/>
        </w:rPr>
        <w:t xml:space="preserve"> CONAPO (2018), </w:t>
      </w:r>
      <w:r w:rsidRPr="006D5DBD">
        <w:rPr>
          <w:rFonts w:ascii="Arial" w:hAnsi="Arial" w:cs="Arial"/>
          <w:i/>
          <w:sz w:val="18"/>
          <w:szCs w:val="18"/>
          <w:lang w:val="en-US"/>
        </w:rPr>
        <w:t>op. cit.</w:t>
      </w:r>
      <w:r w:rsidRPr="006D5DBD">
        <w:rPr>
          <w:rFonts w:ascii="Arial" w:hAnsi="Arial" w:cs="Arial"/>
          <w:sz w:val="18"/>
          <w:szCs w:val="18"/>
          <w:lang w:val="en-US"/>
        </w:rPr>
        <w:t>, s.p.</w:t>
      </w:r>
    </w:p>
  </w:footnote>
  <w:footnote w:id="47">
    <w:p w:rsidR="00E96174" w:rsidRPr="006D5DBD" w:rsidRDefault="00E96174" w:rsidP="00FC6AEE">
      <w:pPr>
        <w:pStyle w:val="Textonotapie"/>
        <w:rPr>
          <w:rFonts w:ascii="Arial" w:hAnsi="Arial" w:cs="Arial"/>
          <w:sz w:val="18"/>
          <w:szCs w:val="18"/>
        </w:rPr>
      </w:pPr>
      <w:r w:rsidRPr="006D5DBD">
        <w:rPr>
          <w:rStyle w:val="Refdenotaalpie"/>
          <w:rFonts w:ascii="Arial" w:hAnsi="Arial" w:cs="Arial"/>
          <w:sz w:val="18"/>
          <w:szCs w:val="18"/>
        </w:rPr>
        <w:footnoteRef/>
      </w:r>
      <w:r w:rsidRPr="006D5DBD">
        <w:rPr>
          <w:rFonts w:ascii="Arial" w:hAnsi="Arial" w:cs="Arial"/>
          <w:sz w:val="18"/>
          <w:szCs w:val="18"/>
        </w:rPr>
        <w:t xml:space="preserve"> Fajardo, G. (2015). Propuesta de modelo para la formación de médicos especialistas en México. En </w:t>
      </w:r>
      <w:r w:rsidRPr="006D5DBD">
        <w:rPr>
          <w:rFonts w:ascii="Arial" w:hAnsi="Arial" w:cs="Arial"/>
          <w:i/>
          <w:sz w:val="18"/>
          <w:szCs w:val="18"/>
        </w:rPr>
        <w:t>La formación de médicos especialistas en México. Documento de postura</w:t>
      </w:r>
      <w:r w:rsidRPr="006D5DBD">
        <w:rPr>
          <w:rFonts w:ascii="Arial" w:hAnsi="Arial" w:cs="Arial"/>
          <w:sz w:val="18"/>
          <w:szCs w:val="18"/>
        </w:rPr>
        <w:t>.</w:t>
      </w:r>
      <w:r w:rsidR="00362567">
        <w:rPr>
          <w:rFonts w:ascii="Arial" w:hAnsi="Arial" w:cs="Arial"/>
          <w:sz w:val="18"/>
          <w:szCs w:val="18"/>
        </w:rPr>
        <w:t xml:space="preserve"> </w:t>
      </w:r>
      <w:r w:rsidRPr="006D5DBD">
        <w:rPr>
          <w:rFonts w:ascii="Arial" w:hAnsi="Arial" w:cs="Arial"/>
          <w:sz w:val="18"/>
          <w:szCs w:val="18"/>
        </w:rPr>
        <w:t>(pp. 187-201). Fajardo, G., Santacruz, J. y C. Lavalle (coords.); Academia Nacional de Medicina de México y Consejo Nacional de Ciencia y Tecnología; Ciudad de México.</w:t>
      </w:r>
    </w:p>
  </w:footnote>
  <w:footnote w:id="48">
    <w:p w:rsidR="00E96174" w:rsidRPr="00382DD9" w:rsidRDefault="00E96174"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29 de enero de 2016.</w:t>
      </w:r>
    </w:p>
  </w:footnote>
  <w:footnote w:id="49">
    <w:p w:rsidR="00E96174" w:rsidRPr="00382DD9" w:rsidRDefault="00E96174"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en el Diario Oficial de la Federación el 10 de junio del 201129 de enero de 2016</w:t>
      </w:r>
    </w:p>
  </w:footnote>
  <w:footnote w:id="50">
    <w:p w:rsidR="00E96174" w:rsidRPr="00382DD9" w:rsidRDefault="00E96174"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Reformado mediante decreto publicado por el Diario Oficial de la Federación el 5 de marzo de 1993.</w:t>
      </w:r>
    </w:p>
  </w:footnote>
  <w:footnote w:id="51">
    <w:p w:rsidR="00E96174" w:rsidRPr="00382DD9" w:rsidRDefault="00E96174"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w:t>
      </w:r>
      <w:r w:rsidRPr="00382DD9">
        <w:rPr>
          <w:rFonts w:ascii="Arial" w:hAnsi="Arial" w:cs="Arial"/>
          <w:i/>
          <w:sz w:val="18"/>
          <w:szCs w:val="18"/>
        </w:rPr>
        <w:t>Ídem</w:t>
      </w:r>
      <w:r w:rsidRPr="00382DD9">
        <w:rPr>
          <w:rFonts w:ascii="Arial" w:hAnsi="Arial" w:cs="Arial"/>
          <w:sz w:val="18"/>
          <w:szCs w:val="18"/>
        </w:rPr>
        <w:t xml:space="preserve">. </w:t>
      </w:r>
    </w:p>
  </w:footnote>
  <w:footnote w:id="52">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53">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54">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55">
    <w:p w:rsidR="00E96174" w:rsidRPr="00BD33EC" w:rsidRDefault="00E96174"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56">
    <w:p w:rsidR="00E96174" w:rsidRPr="00BD33EC" w:rsidRDefault="00E96174" w:rsidP="00414C05">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57">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58">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59">
    <w:p w:rsidR="00E96174" w:rsidRPr="00BD33EC" w:rsidRDefault="00E96174" w:rsidP="00414C05">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p w:rsidR="00E96174" w:rsidRPr="00BD33EC" w:rsidRDefault="00E96174" w:rsidP="00414C05">
      <w:pPr>
        <w:pStyle w:val="Textonotapie"/>
        <w:rPr>
          <w:rFonts w:ascii="Arial" w:hAnsi="Arial" w:cs="Arial"/>
          <w:sz w:val="18"/>
        </w:rPr>
      </w:pPr>
    </w:p>
  </w:footnote>
  <w:footnote w:id="60">
    <w:p w:rsidR="00E96174" w:rsidRPr="00BD33EC" w:rsidRDefault="00E96174" w:rsidP="00414C05">
      <w:pPr>
        <w:spacing w:after="0" w:line="240" w:lineRule="auto"/>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61">
    <w:p w:rsidR="00E96174" w:rsidRPr="009566F6" w:rsidRDefault="00E96174" w:rsidP="00414C05">
      <w:pPr>
        <w:pStyle w:val="Textonotapie"/>
        <w:rPr>
          <w:rFonts w:ascii="Arial" w:hAnsi="Arial" w:cs="Arial"/>
          <w:sz w:val="18"/>
          <w:szCs w:val="18"/>
        </w:rPr>
      </w:pPr>
      <w:r w:rsidRPr="009566F6">
        <w:rPr>
          <w:rStyle w:val="Refdenotaalpie"/>
          <w:rFonts w:ascii="Arial" w:hAnsi="Arial" w:cs="Arial"/>
          <w:sz w:val="18"/>
          <w:szCs w:val="18"/>
        </w:rPr>
        <w:footnoteRef/>
      </w:r>
      <w:r w:rsidRPr="009566F6">
        <w:rPr>
          <w:rFonts w:ascii="Arial" w:hAnsi="Arial" w:cs="Arial"/>
          <w:sz w:val="18"/>
          <w:szCs w:val="18"/>
        </w:rPr>
        <w:t xml:space="preserve"> Texto Vigente: Última reforma publicada DOF 19 de enero de 2018</w:t>
      </w:r>
    </w:p>
  </w:footnote>
  <w:footnote w:id="62">
    <w:p w:rsidR="00E96174" w:rsidRPr="00396A81" w:rsidRDefault="00E96174" w:rsidP="00414C05">
      <w:pPr>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Publicado en el D.O.F. el 7 de febrero de 1984, texto vigente última reforma publicada DOF 12-07-2018</w:t>
      </w:r>
    </w:p>
    <w:p w:rsidR="00E96174" w:rsidRDefault="00E96174" w:rsidP="00414C05">
      <w:pPr>
        <w:pStyle w:val="Textonotapie"/>
      </w:pPr>
    </w:p>
  </w:footnote>
  <w:footnote w:id="63">
    <w:p w:rsidR="00E96174" w:rsidRPr="00396A81" w:rsidRDefault="00E96174"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27-05-1987, 12-01-2006, 01-09-2011</w:t>
      </w:r>
    </w:p>
  </w:footnote>
  <w:footnote w:id="64">
    <w:p w:rsidR="00E96174" w:rsidRPr="00396A81" w:rsidRDefault="00E96174" w:rsidP="00396A81">
      <w:pPr>
        <w:spacing w:after="0" w:line="240" w:lineRule="auto"/>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01-09-2011</w:t>
      </w:r>
    </w:p>
  </w:footnote>
  <w:footnote w:id="65">
    <w:p w:rsidR="00E96174" w:rsidRDefault="00E96174" w:rsidP="00414C05">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E96174" w:rsidRDefault="00E96174" w:rsidP="00414C05">
      <w:pPr>
        <w:pStyle w:val="Textonotapie"/>
      </w:pPr>
    </w:p>
  </w:footnote>
  <w:footnote w:id="66">
    <w:p w:rsidR="00E96174" w:rsidRPr="00AF2109" w:rsidRDefault="00E96174" w:rsidP="004A6E01">
      <w:pPr>
        <w:pStyle w:val="Textonotapie"/>
        <w:jc w:val="both"/>
        <w:rPr>
          <w:rFonts w:ascii="Arial" w:hAnsi="Arial" w:cs="Arial"/>
          <w:sz w:val="18"/>
          <w:szCs w:val="18"/>
          <w:lang w:val="en-US"/>
        </w:rPr>
      </w:pPr>
      <w:r w:rsidRPr="00AF2109">
        <w:rPr>
          <w:rStyle w:val="Refdenotaalpie"/>
          <w:rFonts w:ascii="Arial" w:hAnsi="Arial" w:cs="Arial"/>
          <w:sz w:val="18"/>
          <w:szCs w:val="18"/>
        </w:rPr>
        <w:footnoteRef/>
      </w:r>
      <w:r w:rsidRPr="00AF2109">
        <w:rPr>
          <w:rFonts w:ascii="Arial" w:hAnsi="Arial" w:cs="Arial"/>
          <w:sz w:val="18"/>
          <w:szCs w:val="18"/>
        </w:rPr>
        <w:t xml:space="preserve"> Querido, S., Vergouw, D., Wigersma, L., Batenburg, R., De Rond, M., Ten, O. (2016). </w:t>
      </w:r>
      <w:r w:rsidRPr="00AF2109">
        <w:rPr>
          <w:rFonts w:ascii="Arial" w:hAnsi="Arial" w:cs="Arial"/>
          <w:sz w:val="18"/>
          <w:szCs w:val="18"/>
          <w:lang w:val="en-US"/>
        </w:rPr>
        <w:t xml:space="preserve">Dynamics of career choice among students in undergraduate medical courses. A BEME systematic review: BEME Guide No. 33. </w:t>
      </w:r>
      <w:r w:rsidRPr="00AF2109">
        <w:rPr>
          <w:rFonts w:ascii="Arial" w:hAnsi="Arial" w:cs="Arial"/>
          <w:i/>
          <w:sz w:val="18"/>
          <w:szCs w:val="18"/>
          <w:lang w:val="en-US"/>
        </w:rPr>
        <w:t>Medical Teacher</w:t>
      </w:r>
      <w:r w:rsidRPr="00AF2109">
        <w:rPr>
          <w:rFonts w:ascii="Arial" w:hAnsi="Arial" w:cs="Arial"/>
          <w:sz w:val="18"/>
          <w:szCs w:val="18"/>
          <w:lang w:val="en-US"/>
        </w:rPr>
        <w:t>, vol. 38 (1), pp. 18-29.</w:t>
      </w:r>
    </w:p>
  </w:footnote>
  <w:footnote w:id="67">
    <w:p w:rsidR="00E96174" w:rsidRPr="00AF2109" w:rsidRDefault="00E96174" w:rsidP="004A6E01">
      <w:pPr>
        <w:pStyle w:val="Textonotapie"/>
        <w:jc w:val="both"/>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Gutiérrez, C., Naveja, J., Sánchez, M. (2017). Factores relacionados con la elección de una especialidad en medicina. </w:t>
      </w:r>
      <w:r w:rsidRPr="00AF2109">
        <w:rPr>
          <w:rFonts w:ascii="Arial" w:hAnsi="Arial" w:cs="Arial"/>
          <w:i/>
          <w:sz w:val="18"/>
          <w:szCs w:val="18"/>
        </w:rPr>
        <w:t>Investigación en Educación Médica</w:t>
      </w:r>
      <w:r w:rsidRPr="00AF2109">
        <w:rPr>
          <w:rFonts w:ascii="Arial" w:hAnsi="Arial" w:cs="Arial"/>
          <w:sz w:val="18"/>
          <w:szCs w:val="18"/>
        </w:rPr>
        <w:t>, vol. 6(23), pp. 206-214.</w:t>
      </w:r>
    </w:p>
  </w:footnote>
  <w:footnote w:id="68">
    <w:p w:rsidR="00E96174" w:rsidRPr="00AF2109" w:rsidRDefault="00E96174" w:rsidP="004A6E01">
      <w:pPr>
        <w:pStyle w:val="Textonotapie"/>
        <w:jc w:val="both"/>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Fajardo </w:t>
      </w:r>
      <w:r w:rsidRPr="00AF2109">
        <w:rPr>
          <w:rFonts w:ascii="Arial" w:hAnsi="Arial" w:cs="Arial"/>
          <w:i/>
          <w:sz w:val="18"/>
          <w:szCs w:val="18"/>
        </w:rPr>
        <w:t>et al</w:t>
      </w:r>
      <w:r w:rsidRPr="00AF2109">
        <w:rPr>
          <w:rFonts w:ascii="Arial" w:hAnsi="Arial" w:cs="Arial"/>
          <w:sz w:val="18"/>
          <w:szCs w:val="18"/>
        </w:rPr>
        <w:t xml:space="preserve"> (2015), </w:t>
      </w:r>
      <w:r w:rsidRPr="00AF2109">
        <w:rPr>
          <w:rFonts w:ascii="Arial" w:hAnsi="Arial" w:cs="Arial"/>
          <w:i/>
          <w:sz w:val="18"/>
          <w:szCs w:val="18"/>
        </w:rPr>
        <w:t>op. cit</w:t>
      </w:r>
      <w:r w:rsidRPr="00AF2109">
        <w:rPr>
          <w:rFonts w:ascii="Arial" w:hAnsi="Arial" w:cs="Arial"/>
          <w:sz w:val="18"/>
          <w:szCs w:val="18"/>
        </w:rPr>
        <w:t>., p. 35.</w:t>
      </w:r>
    </w:p>
  </w:footnote>
  <w:footnote w:id="69">
    <w:p w:rsidR="00E96174" w:rsidRPr="00AF2109" w:rsidRDefault="00E96174" w:rsidP="004A6E01">
      <w:pPr>
        <w:pStyle w:val="Textonotapie"/>
        <w:jc w:val="both"/>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lang w:val="en-US"/>
        </w:rPr>
        <w:t xml:space="preserve"> Bland, C., Meurer, L., Maldona, G. (1995). Determinants of primary care specialty choice: A non-statistical meta-analysis of the literature. </w:t>
      </w:r>
      <w:r w:rsidRPr="00AF2109">
        <w:rPr>
          <w:rFonts w:ascii="Arial" w:hAnsi="Arial" w:cs="Arial"/>
          <w:i/>
          <w:sz w:val="18"/>
          <w:szCs w:val="18"/>
        </w:rPr>
        <w:t>Acad Med</w:t>
      </w:r>
      <w:r w:rsidRPr="00AF2109">
        <w:rPr>
          <w:rFonts w:ascii="Arial" w:hAnsi="Arial" w:cs="Arial"/>
          <w:sz w:val="18"/>
          <w:szCs w:val="18"/>
        </w:rPr>
        <w:t>, vol. 70(7), pp.620–641.</w:t>
      </w:r>
    </w:p>
  </w:footnote>
  <w:footnote w:id="70">
    <w:p w:rsidR="00E96174" w:rsidRPr="00AF2109" w:rsidRDefault="00E96174" w:rsidP="00E94E74">
      <w:pPr>
        <w:pStyle w:val="Textonotapie"/>
        <w:rPr>
          <w:rFonts w:ascii="Arial" w:hAnsi="Arial" w:cs="Arial"/>
          <w:sz w:val="18"/>
          <w:szCs w:val="18"/>
        </w:rPr>
      </w:pPr>
      <w:r w:rsidRPr="00AF2109">
        <w:rPr>
          <w:rStyle w:val="Refdenotaalpie"/>
          <w:rFonts w:ascii="Arial" w:hAnsi="Arial" w:cs="Arial"/>
          <w:sz w:val="18"/>
          <w:szCs w:val="18"/>
        </w:rPr>
        <w:footnoteRef/>
      </w:r>
      <w:r w:rsidRPr="00AF2109">
        <w:rPr>
          <w:rFonts w:ascii="Arial" w:hAnsi="Arial" w:cs="Arial"/>
          <w:sz w:val="18"/>
          <w:szCs w:val="18"/>
        </w:rPr>
        <w:t xml:space="preserve"> Querido </w:t>
      </w:r>
      <w:r w:rsidRPr="00AF2109">
        <w:rPr>
          <w:rFonts w:ascii="Arial" w:hAnsi="Arial" w:cs="Arial"/>
          <w:i/>
          <w:sz w:val="18"/>
          <w:szCs w:val="18"/>
        </w:rPr>
        <w:t>et al</w:t>
      </w:r>
      <w:r w:rsidRPr="00AF2109">
        <w:rPr>
          <w:rFonts w:ascii="Arial" w:hAnsi="Arial" w:cs="Arial"/>
          <w:sz w:val="18"/>
          <w:szCs w:val="18"/>
        </w:rPr>
        <w:t xml:space="preserve"> (2016), </w:t>
      </w:r>
      <w:r w:rsidRPr="00AF2109">
        <w:rPr>
          <w:rFonts w:ascii="Arial" w:hAnsi="Arial" w:cs="Arial"/>
          <w:i/>
          <w:sz w:val="18"/>
          <w:szCs w:val="18"/>
        </w:rPr>
        <w:t>op. cit</w:t>
      </w:r>
      <w:r w:rsidRPr="00AF2109">
        <w:rPr>
          <w:rFonts w:ascii="Arial" w:hAnsi="Arial" w:cs="Arial"/>
          <w:sz w:val="18"/>
          <w:szCs w:val="18"/>
        </w:rPr>
        <w:t>., p. 20.</w:t>
      </w:r>
    </w:p>
  </w:footnote>
  <w:footnote w:id="71">
    <w:p w:rsidR="00E96174" w:rsidRPr="00E07E4C" w:rsidRDefault="00E96174" w:rsidP="004A6E01">
      <w:pPr>
        <w:pStyle w:val="Textonotapie"/>
        <w:jc w:val="both"/>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Rodríguez, R. (1989) Metodología para el análisis demográfico de la eficiencia terminal, la deserción y el rezago escolar. En “</w:t>
      </w:r>
      <w:r w:rsidRPr="00E07E4C">
        <w:rPr>
          <w:rFonts w:ascii="Arial" w:hAnsi="Arial" w:cs="Arial"/>
          <w:i/>
          <w:sz w:val="18"/>
          <w:szCs w:val="18"/>
        </w:rPr>
        <w:t>La trayectoria escolar en la educación superior. Panorámica de la investigación y acercamientos metodológicos</w:t>
      </w:r>
      <w:r w:rsidRPr="00E07E4C">
        <w:rPr>
          <w:rFonts w:ascii="Arial" w:hAnsi="Arial" w:cs="Arial"/>
          <w:sz w:val="18"/>
          <w:szCs w:val="18"/>
        </w:rPr>
        <w:t>” R. Santoyo (coord.) ANUIES; México, D.F. (pp. 225-280).</w:t>
      </w:r>
    </w:p>
  </w:footnote>
  <w:footnote w:id="72">
    <w:p w:rsidR="00E96174" w:rsidRPr="00E07E4C" w:rsidRDefault="00E96174" w:rsidP="004A6E01">
      <w:pPr>
        <w:pStyle w:val="Textonotapie"/>
        <w:jc w:val="both"/>
        <w:rPr>
          <w:rFonts w:ascii="Arial" w:hAnsi="Arial" w:cs="Arial"/>
          <w:sz w:val="18"/>
          <w:szCs w:val="18"/>
        </w:rPr>
      </w:pPr>
      <w:r w:rsidRPr="00E07E4C">
        <w:rPr>
          <w:rStyle w:val="Refdenotaalpie"/>
          <w:rFonts w:ascii="Arial" w:hAnsi="Arial" w:cs="Arial"/>
          <w:sz w:val="18"/>
          <w:szCs w:val="18"/>
        </w:rPr>
        <w:footnoteRef/>
      </w:r>
      <w:r w:rsidRPr="00E07E4C">
        <w:rPr>
          <w:rFonts w:ascii="Arial" w:hAnsi="Arial" w:cs="Arial"/>
          <w:sz w:val="18"/>
          <w:szCs w:val="18"/>
        </w:rPr>
        <w:t xml:space="preserve"> </w:t>
      </w:r>
      <w:r w:rsidRPr="005075F2">
        <w:rPr>
          <w:rFonts w:ascii="Arial" w:hAnsi="Arial" w:cs="Arial"/>
          <w:sz w:val="18"/>
          <w:szCs w:val="18"/>
        </w:rPr>
        <w:t>Graue, E. (2015). Posicionamiento de la Academia Nacional de Medicina. En Fajardo, G., Santacruz, J. y C. Lavalle (Coords.), La formación de médicos especialistas en México. Documento de postura (pp. 235-243</w:t>
      </w:r>
    </w:p>
  </w:footnote>
  <w:footnote w:id="73">
    <w:p w:rsidR="00E96174" w:rsidRPr="004A6E01" w:rsidRDefault="00E96174" w:rsidP="004A2F38">
      <w:pPr>
        <w:pStyle w:val="Textonotapie"/>
        <w:rPr>
          <w:rFonts w:ascii="Arial" w:hAnsi="Arial" w:cs="Arial"/>
          <w:sz w:val="18"/>
          <w:szCs w:val="18"/>
        </w:rPr>
      </w:pPr>
      <w:r w:rsidRPr="004A6E01">
        <w:rPr>
          <w:rStyle w:val="Refdenotaalpie"/>
          <w:rFonts w:ascii="Arial" w:hAnsi="Arial" w:cs="Arial"/>
          <w:sz w:val="18"/>
          <w:szCs w:val="18"/>
        </w:rPr>
        <w:footnoteRef/>
      </w:r>
      <w:r w:rsidRPr="004A6E01">
        <w:rPr>
          <w:rFonts w:ascii="Arial" w:hAnsi="Arial" w:cs="Arial"/>
          <w:sz w:val="18"/>
          <w:szCs w:val="18"/>
        </w:rPr>
        <w:t xml:space="preserve"> Fajardo (2015), </w:t>
      </w:r>
      <w:r w:rsidRPr="004A6E01">
        <w:rPr>
          <w:rFonts w:ascii="Arial" w:hAnsi="Arial" w:cs="Arial"/>
          <w:i/>
          <w:sz w:val="18"/>
          <w:szCs w:val="18"/>
        </w:rPr>
        <w:t>op. cit.</w:t>
      </w:r>
      <w:r w:rsidRPr="004A6E01">
        <w:rPr>
          <w:rFonts w:ascii="Arial" w:hAnsi="Arial" w:cs="Arial"/>
          <w:sz w:val="18"/>
          <w:szCs w:val="18"/>
        </w:rPr>
        <w:t>, p. 192</w:t>
      </w:r>
    </w:p>
  </w:footnote>
  <w:footnote w:id="74">
    <w:p w:rsidR="00E96174" w:rsidRPr="00095941" w:rsidRDefault="00E96174" w:rsidP="004A6E01">
      <w:pPr>
        <w:pStyle w:val="Textonotapie"/>
        <w:jc w:val="both"/>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Gutiérrez </w:t>
      </w:r>
      <w:r w:rsidRPr="00095941">
        <w:rPr>
          <w:rFonts w:ascii="Arial" w:hAnsi="Arial" w:cs="Arial"/>
          <w:i/>
          <w:sz w:val="18"/>
          <w:szCs w:val="18"/>
        </w:rPr>
        <w:t xml:space="preserve">et al </w:t>
      </w:r>
      <w:r w:rsidRPr="00095941">
        <w:rPr>
          <w:rFonts w:ascii="Arial" w:hAnsi="Arial" w:cs="Arial"/>
          <w:sz w:val="18"/>
          <w:szCs w:val="18"/>
        </w:rPr>
        <w:t>(2017),</w:t>
      </w:r>
      <w:r w:rsidRPr="00095941">
        <w:rPr>
          <w:rFonts w:ascii="Arial" w:hAnsi="Arial" w:cs="Arial"/>
          <w:i/>
          <w:sz w:val="18"/>
          <w:szCs w:val="18"/>
        </w:rPr>
        <w:t xml:space="preserve"> op. cit.,</w:t>
      </w:r>
      <w:r w:rsidRPr="00095941">
        <w:rPr>
          <w:rFonts w:ascii="Arial" w:hAnsi="Arial" w:cs="Arial"/>
          <w:sz w:val="18"/>
          <w:szCs w:val="18"/>
        </w:rPr>
        <w:t xml:space="preserve"> p. 212</w:t>
      </w:r>
    </w:p>
  </w:footnote>
  <w:footnote w:id="75">
    <w:p w:rsidR="00E96174" w:rsidRPr="00095941" w:rsidRDefault="00E96174" w:rsidP="004A6E01">
      <w:pPr>
        <w:pStyle w:val="Textonotapie"/>
        <w:jc w:val="both"/>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Fajardo </w:t>
      </w:r>
      <w:r w:rsidRPr="00095941">
        <w:rPr>
          <w:rFonts w:ascii="Arial" w:hAnsi="Arial" w:cs="Arial"/>
          <w:i/>
          <w:sz w:val="18"/>
          <w:szCs w:val="18"/>
        </w:rPr>
        <w:t>et al</w:t>
      </w:r>
      <w:r w:rsidRPr="00095941">
        <w:rPr>
          <w:rFonts w:ascii="Arial" w:hAnsi="Arial" w:cs="Arial"/>
          <w:sz w:val="18"/>
          <w:szCs w:val="18"/>
        </w:rPr>
        <w:t xml:space="preserve"> (2015), </w:t>
      </w:r>
      <w:r w:rsidRPr="00095941">
        <w:rPr>
          <w:rFonts w:ascii="Arial" w:hAnsi="Arial" w:cs="Arial"/>
          <w:i/>
          <w:sz w:val="18"/>
          <w:szCs w:val="18"/>
        </w:rPr>
        <w:t>op. cit.</w:t>
      </w:r>
      <w:r w:rsidRPr="00095941">
        <w:rPr>
          <w:rFonts w:ascii="Arial" w:hAnsi="Arial" w:cs="Arial"/>
          <w:sz w:val="18"/>
          <w:szCs w:val="18"/>
        </w:rPr>
        <w:t>, p. 44.</w:t>
      </w:r>
    </w:p>
  </w:footnote>
  <w:footnote w:id="76">
    <w:p w:rsidR="00E96174" w:rsidRPr="002D6D20" w:rsidRDefault="00E96174"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SSA (2019), </w:t>
      </w:r>
      <w:r w:rsidRPr="002D6D20">
        <w:rPr>
          <w:rFonts w:ascii="Arial" w:hAnsi="Arial" w:cs="Arial"/>
          <w:i/>
          <w:sz w:val="18"/>
          <w:szCs w:val="18"/>
          <w:lang w:val="en-US"/>
        </w:rPr>
        <w:t>op. cit.</w:t>
      </w:r>
      <w:r w:rsidRPr="002D6D20">
        <w:rPr>
          <w:rFonts w:ascii="Arial" w:hAnsi="Arial" w:cs="Arial"/>
          <w:sz w:val="18"/>
          <w:szCs w:val="18"/>
          <w:lang w:val="en-US"/>
        </w:rPr>
        <w:t>, s.p.</w:t>
      </w:r>
    </w:p>
  </w:footnote>
  <w:footnote w:id="77">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(2018), </w:t>
      </w:r>
      <w:r w:rsidRPr="002D6D20">
        <w:rPr>
          <w:rFonts w:ascii="Arial" w:hAnsi="Arial" w:cs="Arial"/>
          <w:i/>
          <w:sz w:val="18"/>
          <w:szCs w:val="18"/>
        </w:rPr>
        <w:t>op. cit</w:t>
      </w:r>
      <w:r w:rsidRPr="002D6D20">
        <w:rPr>
          <w:rFonts w:ascii="Arial" w:hAnsi="Arial" w:cs="Arial"/>
          <w:sz w:val="18"/>
          <w:szCs w:val="18"/>
        </w:rPr>
        <w:t>., s.p.</w:t>
      </w:r>
    </w:p>
  </w:footnote>
  <w:footnote w:id="78">
    <w:p w:rsidR="00E96174" w:rsidRPr="00E96174"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2D6D20">
        <w:rPr>
          <w:rFonts w:ascii="Arial" w:hAnsi="Arial" w:cs="Arial"/>
          <w:i/>
          <w:sz w:val="18"/>
          <w:szCs w:val="18"/>
        </w:rPr>
        <w:t>et al</w:t>
      </w:r>
      <w:r w:rsidRPr="002D6D20">
        <w:rPr>
          <w:rFonts w:ascii="Arial" w:hAnsi="Arial" w:cs="Arial"/>
          <w:sz w:val="18"/>
          <w:szCs w:val="18"/>
        </w:rPr>
        <w:t xml:space="preserve"> </w:t>
      </w:r>
      <w:r w:rsidRPr="00E96174">
        <w:rPr>
          <w:rFonts w:ascii="Arial" w:hAnsi="Arial" w:cs="Arial"/>
          <w:sz w:val="18"/>
          <w:szCs w:val="18"/>
        </w:rPr>
        <w:t xml:space="preserve">(2015), </w:t>
      </w:r>
      <w:r w:rsidRPr="00E96174">
        <w:rPr>
          <w:rFonts w:ascii="Arial" w:hAnsi="Arial" w:cs="Arial"/>
          <w:i/>
          <w:sz w:val="18"/>
          <w:szCs w:val="18"/>
        </w:rPr>
        <w:t>op. cit.</w:t>
      </w:r>
      <w:r w:rsidRPr="00E96174">
        <w:rPr>
          <w:rFonts w:ascii="Arial" w:hAnsi="Arial" w:cs="Arial"/>
          <w:sz w:val="18"/>
          <w:szCs w:val="18"/>
        </w:rPr>
        <w:t>, p. 33</w:t>
      </w:r>
    </w:p>
  </w:footnote>
  <w:footnote w:id="79">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E96174">
        <w:rPr>
          <w:rFonts w:ascii="Arial" w:hAnsi="Arial" w:cs="Arial"/>
          <w:sz w:val="18"/>
          <w:szCs w:val="18"/>
        </w:rPr>
        <w:t xml:space="preserve"> Heinze </w:t>
      </w:r>
      <w:r w:rsidRPr="00E96174">
        <w:rPr>
          <w:rFonts w:ascii="Arial" w:hAnsi="Arial" w:cs="Arial"/>
          <w:i/>
          <w:sz w:val="18"/>
          <w:szCs w:val="18"/>
        </w:rPr>
        <w:t>et al</w:t>
      </w:r>
      <w:r w:rsidRPr="00E96174">
        <w:rPr>
          <w:rFonts w:ascii="Arial" w:hAnsi="Arial" w:cs="Arial"/>
          <w:sz w:val="18"/>
          <w:szCs w:val="18"/>
        </w:rPr>
        <w:t xml:space="preserve"> </w:t>
      </w:r>
      <w:r w:rsidRPr="002D6D20">
        <w:rPr>
          <w:rFonts w:ascii="Arial" w:hAnsi="Arial" w:cs="Arial"/>
          <w:sz w:val="18"/>
          <w:szCs w:val="18"/>
        </w:rPr>
        <w:t xml:space="preserve">(2018), </w:t>
      </w:r>
      <w:r w:rsidRPr="002D6D20">
        <w:rPr>
          <w:rFonts w:ascii="Arial" w:hAnsi="Arial" w:cs="Arial"/>
          <w:i/>
          <w:sz w:val="18"/>
          <w:szCs w:val="18"/>
        </w:rPr>
        <w:t>op. cit.</w:t>
      </w:r>
      <w:r w:rsidRPr="002D6D20">
        <w:rPr>
          <w:rFonts w:ascii="Arial" w:hAnsi="Arial" w:cs="Arial"/>
          <w:sz w:val="18"/>
          <w:szCs w:val="18"/>
        </w:rPr>
        <w:t>, p. 344</w:t>
      </w:r>
    </w:p>
  </w:footnote>
  <w:footnote w:id="80">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r w:rsidRPr="002D6D20">
        <w:rPr>
          <w:rFonts w:ascii="Arial" w:hAnsi="Arial" w:cs="Arial"/>
          <w:i/>
          <w:sz w:val="18"/>
          <w:szCs w:val="18"/>
        </w:rPr>
        <w:t>Ibídem</w:t>
      </w:r>
      <w:r w:rsidRPr="002D6D20">
        <w:rPr>
          <w:rFonts w:ascii="Arial" w:hAnsi="Arial" w:cs="Arial"/>
          <w:sz w:val="18"/>
          <w:szCs w:val="18"/>
        </w:rPr>
        <w:t>.</w:t>
      </w:r>
    </w:p>
  </w:footnote>
  <w:footnote w:id="81">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9F1139">
        <w:rPr>
          <w:rFonts w:ascii="Arial" w:hAnsi="Arial" w:cs="Arial"/>
          <w:i/>
          <w:sz w:val="18"/>
          <w:szCs w:val="18"/>
        </w:rPr>
        <w:t>et al</w:t>
      </w:r>
      <w:r w:rsidRPr="002D6D20">
        <w:rPr>
          <w:rFonts w:ascii="Arial" w:hAnsi="Arial" w:cs="Arial"/>
          <w:sz w:val="18"/>
          <w:szCs w:val="18"/>
        </w:rPr>
        <w:t xml:space="preserve"> (2015), op. cit., p. 31.</w:t>
      </w:r>
    </w:p>
  </w:footnote>
  <w:footnote w:id="82">
    <w:p w:rsidR="00E96174" w:rsidRPr="002D6D20" w:rsidRDefault="00E96174"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Dussault, G., Franceschini, M. (2006). Not enough there, too many here: understanding geographical imbalances in the distribution of the health workforce. </w:t>
      </w:r>
      <w:r w:rsidRPr="002D6D20">
        <w:rPr>
          <w:rFonts w:ascii="Arial" w:hAnsi="Arial" w:cs="Arial"/>
          <w:i/>
          <w:sz w:val="18"/>
          <w:szCs w:val="18"/>
          <w:lang w:val="en-US"/>
        </w:rPr>
        <w:t>Human Resources for Health</w:t>
      </w:r>
      <w:r w:rsidRPr="002D6D20">
        <w:rPr>
          <w:rFonts w:ascii="Arial" w:hAnsi="Arial" w:cs="Arial"/>
          <w:sz w:val="18"/>
          <w:szCs w:val="18"/>
          <w:lang w:val="en-US"/>
        </w:rPr>
        <w:t>, vol. 4 (12), pp. 1-16.</w:t>
      </w:r>
    </w:p>
  </w:footnote>
  <w:footnote w:id="83">
    <w:p w:rsidR="00E96174" w:rsidRPr="002D6D20" w:rsidRDefault="00E96174" w:rsidP="00E844FF">
      <w:pPr>
        <w:pStyle w:val="Textonotapie"/>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r w:rsidRPr="002D6D20">
        <w:rPr>
          <w:rFonts w:ascii="Arial" w:hAnsi="Arial" w:cs="Arial"/>
          <w:i/>
          <w:sz w:val="18"/>
          <w:szCs w:val="18"/>
          <w:lang w:val="en-US"/>
        </w:rPr>
        <w:t>Ibídem</w:t>
      </w:r>
      <w:r w:rsidRPr="002D6D20">
        <w:rPr>
          <w:rFonts w:ascii="Arial" w:hAnsi="Arial" w:cs="Arial"/>
          <w:sz w:val="18"/>
          <w:szCs w:val="18"/>
          <w:lang w:val="en-US"/>
        </w:rPr>
        <w:t>.</w:t>
      </w:r>
    </w:p>
  </w:footnote>
  <w:footnote w:id="84">
    <w:p w:rsidR="00E96174" w:rsidRPr="002D6D20" w:rsidRDefault="00E96174"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lang w:val="en-US"/>
        </w:rPr>
        <w:t xml:space="preserve"> Ruelas, E., Alonso, A. (2015). </w:t>
      </w:r>
      <w:r w:rsidRPr="002D6D20">
        <w:rPr>
          <w:rFonts w:ascii="Arial" w:hAnsi="Arial" w:cs="Arial"/>
          <w:sz w:val="18"/>
          <w:szCs w:val="18"/>
        </w:rPr>
        <w:t xml:space="preserve">Imágenes generales sobre la posible evolución futura de las especialidades médicas. En </w:t>
      </w:r>
      <w:r w:rsidRPr="002D6D20">
        <w:rPr>
          <w:rFonts w:ascii="Arial" w:hAnsi="Arial" w:cs="Arial"/>
          <w:i/>
          <w:sz w:val="18"/>
          <w:szCs w:val="18"/>
        </w:rPr>
        <w:t>Futuros de las especialidades médicas en México</w:t>
      </w:r>
      <w:r w:rsidRPr="002D6D20">
        <w:rPr>
          <w:rFonts w:ascii="Arial" w:hAnsi="Arial" w:cs="Arial"/>
          <w:sz w:val="18"/>
          <w:szCs w:val="18"/>
        </w:rPr>
        <w:t xml:space="preserve"> (pp. 105-122). E. Ruelas y A. Alonso (Eds.); Academia Nacional de Medicina de México y Consejo Nacional de Ciencia y Tecnología de México; Ciudad de México.</w:t>
      </w:r>
    </w:p>
  </w:footnote>
  <w:footnote w:id="85">
    <w:p w:rsidR="00E96174" w:rsidRPr="002D6D20" w:rsidRDefault="00E96174"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86">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Encuesta Nacional de Ocupación y Empleo (ENOE), 4to trimestre de 2018</w:t>
      </w:r>
      <w:r w:rsidRPr="002D6D20">
        <w:rPr>
          <w:rFonts w:ascii="Arial" w:hAnsi="Arial" w:cs="Arial"/>
          <w:sz w:val="18"/>
          <w:szCs w:val="18"/>
        </w:rPr>
        <w:t>. Consultado el 26/03/2019 de https://www.inegi.org.mx/programas/enoe/15ymas/default.html</w:t>
      </w:r>
    </w:p>
  </w:footnote>
  <w:footnote w:id="87">
    <w:p w:rsidR="00E96174" w:rsidRPr="00CE4D30" w:rsidRDefault="00E96174"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Nigenda, G., Alcalde, J., González, L., Serván, E., García, S., Lozano, R. (2016). Eficiencia de los recursos humanos en salud: una aproximación a su análisis en México. </w:t>
      </w:r>
      <w:r w:rsidRPr="00CE4D30">
        <w:rPr>
          <w:rFonts w:ascii="Arial" w:hAnsi="Arial" w:cs="Arial"/>
          <w:i/>
          <w:sz w:val="18"/>
          <w:szCs w:val="18"/>
        </w:rPr>
        <w:t>Salud Pública de México</w:t>
      </w:r>
      <w:r w:rsidRPr="00CE4D30">
        <w:rPr>
          <w:rFonts w:ascii="Arial" w:hAnsi="Arial" w:cs="Arial"/>
          <w:sz w:val="18"/>
          <w:szCs w:val="18"/>
        </w:rPr>
        <w:t>, vol. 58 (5), pp. 533-542.</w:t>
      </w:r>
    </w:p>
  </w:footnote>
  <w:footnote w:id="88">
    <w:p w:rsidR="00E96174" w:rsidRPr="002D6D20" w:rsidRDefault="00E96174"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Hernández, E., Solís, R., Stefanovich, A. (2012). Análisis del equilibrio entre oferta y demanda de profesionistas en el período 2001-2009. En </w:t>
      </w:r>
      <w:r w:rsidRPr="002D6D20">
        <w:rPr>
          <w:rFonts w:ascii="Arial" w:hAnsi="Arial" w:cs="Arial"/>
          <w:i/>
          <w:sz w:val="18"/>
          <w:szCs w:val="18"/>
        </w:rPr>
        <w:t>Mercado laboral de profesionistas en México. Diagnóstico (2000-2009) y prospectiva (2010-2020)</w:t>
      </w:r>
      <w:r w:rsidRPr="002D6D20">
        <w:rPr>
          <w:rFonts w:ascii="Arial" w:hAnsi="Arial" w:cs="Arial"/>
          <w:sz w:val="18"/>
          <w:szCs w:val="18"/>
        </w:rPr>
        <w:t xml:space="preserve"> (pp. 251-267), E. Hernández (Coord.). Asociación Nacional de Universidades e Instituciones de Educación Superior; Ciudad de México. </w:t>
      </w:r>
    </w:p>
  </w:footnote>
  <w:footnote w:id="89">
    <w:p w:rsidR="00E96174" w:rsidRPr="002D6D20" w:rsidRDefault="00E96174"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op. cit.</w:t>
      </w:r>
      <w:r w:rsidRPr="002D6D20">
        <w:rPr>
          <w:rFonts w:ascii="Arial" w:hAnsi="Arial" w:cs="Arial"/>
          <w:sz w:val="18"/>
          <w:szCs w:val="18"/>
        </w:rPr>
        <w:t>, s.p.</w:t>
      </w:r>
    </w:p>
  </w:footnote>
  <w:footnote w:id="90">
    <w:p w:rsidR="00E96174" w:rsidRPr="004A6E01" w:rsidRDefault="00E96174" w:rsidP="00E844FF">
      <w:pPr>
        <w:pStyle w:val="Textonotapie"/>
        <w:rPr>
          <w:rFonts w:ascii="Arial" w:hAnsi="Arial" w:cs="Arial"/>
          <w:sz w:val="18"/>
          <w:szCs w:val="18"/>
        </w:rPr>
      </w:pPr>
      <w:r w:rsidRPr="004A6E01">
        <w:rPr>
          <w:rStyle w:val="Refdenotaalpie"/>
          <w:rFonts w:ascii="Arial" w:hAnsi="Arial" w:cs="Arial"/>
          <w:sz w:val="18"/>
          <w:szCs w:val="18"/>
        </w:rPr>
        <w:footnoteRef/>
      </w:r>
      <w:r w:rsidRPr="004A6E01">
        <w:rPr>
          <w:rFonts w:ascii="Arial" w:hAnsi="Arial" w:cs="Arial"/>
          <w:sz w:val="18"/>
          <w:szCs w:val="18"/>
        </w:rPr>
        <w:t xml:space="preserve"> </w:t>
      </w:r>
      <w:r w:rsidRPr="004A6E01">
        <w:rPr>
          <w:rFonts w:ascii="Arial" w:hAnsi="Arial" w:cs="Arial"/>
          <w:i/>
          <w:sz w:val="18"/>
          <w:szCs w:val="18"/>
        </w:rPr>
        <w:t>Ibídem</w:t>
      </w:r>
      <w:r w:rsidRPr="004A6E01">
        <w:rPr>
          <w:rFonts w:ascii="Arial" w:hAnsi="Arial" w:cs="Arial"/>
          <w:sz w:val="18"/>
          <w:szCs w:val="18"/>
        </w:rPr>
        <w:t>.</w:t>
      </w:r>
    </w:p>
  </w:footnote>
  <w:footnote w:id="91">
    <w:p w:rsidR="00E96174" w:rsidRDefault="00E96174" w:rsidP="00E844FF">
      <w:pPr>
        <w:pStyle w:val="Textonotapie"/>
      </w:pPr>
      <w:r w:rsidRPr="004A6E01">
        <w:rPr>
          <w:rStyle w:val="Refdenotaalpie"/>
          <w:rFonts w:ascii="Arial" w:hAnsi="Arial" w:cs="Arial"/>
          <w:sz w:val="18"/>
          <w:szCs w:val="18"/>
        </w:rPr>
        <w:footnoteRef/>
      </w:r>
      <w:r w:rsidRPr="004A6E01">
        <w:rPr>
          <w:rFonts w:ascii="Arial" w:hAnsi="Arial" w:cs="Arial"/>
          <w:sz w:val="18"/>
          <w:szCs w:val="18"/>
        </w:rPr>
        <w:t xml:space="preserve"> </w:t>
      </w:r>
      <w:r w:rsidRPr="004A6E01">
        <w:rPr>
          <w:rFonts w:ascii="Arial" w:hAnsi="Arial" w:cs="Arial"/>
          <w:i/>
          <w:sz w:val="18"/>
          <w:szCs w:val="18"/>
        </w:rPr>
        <w:t>Ibídem</w:t>
      </w:r>
      <w:r w:rsidRPr="004A6E01">
        <w:rPr>
          <w:rFonts w:ascii="Arial" w:hAnsi="Arial" w:cs="Arial"/>
          <w:sz w:val="18"/>
          <w:szCs w:val="18"/>
        </w:rPr>
        <w:t>.</w:t>
      </w:r>
    </w:p>
  </w:footnote>
  <w:footnote w:id="92">
    <w:p w:rsidR="00E96174" w:rsidRPr="00F75F85" w:rsidRDefault="00E96174" w:rsidP="004A6E01">
      <w:pPr>
        <w:pStyle w:val="Textonotapie"/>
        <w:ind w:left="142" w:hanging="142"/>
        <w:jc w:val="both"/>
        <w:rPr>
          <w:sz w:val="18"/>
          <w:szCs w:val="18"/>
        </w:rPr>
      </w:pPr>
      <w:r w:rsidRPr="00F75F85">
        <w:rPr>
          <w:rStyle w:val="Refdenotaalpie"/>
          <w:rFonts w:ascii="Arial" w:hAnsi="Arial" w:cs="Arial"/>
          <w:sz w:val="18"/>
          <w:szCs w:val="18"/>
        </w:rPr>
        <w:footnoteRef/>
      </w:r>
      <w:r w:rsidRPr="00F75F85">
        <w:rPr>
          <w:sz w:val="18"/>
          <w:szCs w:val="18"/>
        </w:rPr>
        <w:t xml:space="preserve"> </w:t>
      </w:r>
      <w:r w:rsidRPr="00F75F85">
        <w:rPr>
          <w:rFonts w:ascii="Arial" w:hAnsi="Arial" w:cs="Arial"/>
          <w:sz w:val="18"/>
          <w:szCs w:val="18"/>
        </w:rPr>
        <w:t xml:space="preserve">Instituto Nacional de Salud Pública (2017). </w:t>
      </w:r>
      <w:r w:rsidRPr="00F75F85">
        <w:rPr>
          <w:rFonts w:ascii="Arial" w:hAnsi="Arial" w:cs="Arial"/>
          <w:i/>
          <w:sz w:val="18"/>
          <w:szCs w:val="18"/>
        </w:rPr>
        <w:t xml:space="preserve">Brechas en la disponibilidad de médicos y enfermeras especialistas en el sistema nacional de salud. </w:t>
      </w:r>
      <w:r w:rsidRPr="00F75F85">
        <w:rPr>
          <w:rFonts w:ascii="Arial" w:hAnsi="Arial" w:cs="Arial"/>
          <w:sz w:val="18"/>
          <w:szCs w:val="18"/>
        </w:rPr>
        <w:t>México. [En línea]. http://www.cifrhs.salud.gob.mx/site1/residencias/brechas_medico_enf_esp.pdf [Consulta el 14 de diciembre de 2018].</w:t>
      </w:r>
    </w:p>
  </w:footnote>
  <w:footnote w:id="93">
    <w:p w:rsidR="00E96174" w:rsidRPr="00F066D4" w:rsidRDefault="00E96174" w:rsidP="004A6E01">
      <w:pPr>
        <w:pStyle w:val="Textonotapie"/>
        <w:ind w:left="142" w:hanging="142"/>
        <w:jc w:val="both"/>
        <w:rPr>
          <w:sz w:val="18"/>
          <w:szCs w:val="18"/>
        </w:rPr>
      </w:pPr>
      <w:r w:rsidRPr="00F066D4">
        <w:rPr>
          <w:rStyle w:val="Refdenotaalpie"/>
          <w:rFonts w:ascii="Arial" w:hAnsi="Arial" w:cs="Arial"/>
          <w:sz w:val="18"/>
          <w:szCs w:val="18"/>
        </w:rPr>
        <w:footnoteRef/>
      </w:r>
      <w:r w:rsidRPr="00F066D4">
        <w:rPr>
          <w:rFonts w:ascii="Arial" w:hAnsi="Arial" w:cs="Arial"/>
          <w:sz w:val="18"/>
          <w:szCs w:val="18"/>
        </w:rPr>
        <w:t xml:space="preserve"> Fajardo, G. </w:t>
      </w:r>
      <w:r w:rsidRPr="00F066D4">
        <w:rPr>
          <w:rFonts w:ascii="Arial" w:hAnsi="Arial" w:cs="Arial"/>
          <w:i/>
          <w:sz w:val="18"/>
          <w:szCs w:val="18"/>
        </w:rPr>
        <w:t xml:space="preserve">et al. </w:t>
      </w:r>
      <w:r w:rsidRPr="00F066D4">
        <w:rPr>
          <w:rFonts w:ascii="Arial" w:hAnsi="Arial" w:cs="Arial"/>
          <w:sz w:val="18"/>
          <w:szCs w:val="18"/>
        </w:rPr>
        <w:t xml:space="preserve">(2015). </w:t>
      </w:r>
      <w:r w:rsidRPr="00F066D4">
        <w:rPr>
          <w:rFonts w:ascii="Arial" w:hAnsi="Arial" w:cs="Arial"/>
          <w:i/>
          <w:sz w:val="18"/>
          <w:szCs w:val="18"/>
        </w:rPr>
        <w:t xml:space="preserve">La formación de médicos especialistas en México. </w:t>
      </w:r>
      <w:r w:rsidRPr="00F066D4">
        <w:rPr>
          <w:rFonts w:ascii="Arial" w:hAnsi="Arial" w:cs="Arial"/>
          <w:sz w:val="18"/>
          <w:szCs w:val="18"/>
        </w:rPr>
        <w:t>México: Academia Nacional de Medicina.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795948"/>
    <w:multiLevelType w:val="hybridMultilevel"/>
    <w:tmpl w:val="B7B87D6C"/>
    <w:lvl w:ilvl="0" w:tplc="B102368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AF52C99"/>
    <w:multiLevelType w:val="hybridMultilevel"/>
    <w:tmpl w:val="0208636C"/>
    <w:lvl w:ilvl="0" w:tplc="2F54F9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4B3204C"/>
    <w:multiLevelType w:val="hybridMultilevel"/>
    <w:tmpl w:val="84202FB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51C5FE6"/>
    <w:multiLevelType w:val="hybridMultilevel"/>
    <w:tmpl w:val="A00C78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60735BC0"/>
    <w:multiLevelType w:val="hybridMultilevel"/>
    <w:tmpl w:val="712C15D8"/>
    <w:lvl w:ilvl="0" w:tplc="621A0BE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5"/>
  </w:num>
  <w:num w:numId="3">
    <w:abstractNumId w:val="4"/>
  </w:num>
  <w:num w:numId="4">
    <w:abstractNumId w:val="1"/>
  </w:num>
  <w:num w:numId="5">
    <w:abstractNumId w:val="7"/>
  </w:num>
  <w:num w:numId="6">
    <w:abstractNumId w:val="3"/>
  </w:num>
  <w:num w:numId="7">
    <w:abstractNumId w:val="8"/>
  </w:num>
  <w:num w:numId="8">
    <w:abstractNumId w:val="2"/>
  </w:num>
  <w:num w:numId="9">
    <w:abstractNumId w:val="6"/>
  </w:num>
  <w:num w:numId="10">
    <w:abstractNumId w:val="9"/>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6613"/>
    <w:rsid w:val="000072F7"/>
    <w:rsid w:val="00013E60"/>
    <w:rsid w:val="00023ADA"/>
    <w:rsid w:val="00023DD3"/>
    <w:rsid w:val="00025AAE"/>
    <w:rsid w:val="00026C34"/>
    <w:rsid w:val="00043663"/>
    <w:rsid w:val="00053DB1"/>
    <w:rsid w:val="000551A4"/>
    <w:rsid w:val="00056961"/>
    <w:rsid w:val="00063193"/>
    <w:rsid w:val="00066F76"/>
    <w:rsid w:val="00071E6F"/>
    <w:rsid w:val="000742E9"/>
    <w:rsid w:val="00075841"/>
    <w:rsid w:val="00075C3B"/>
    <w:rsid w:val="00082F49"/>
    <w:rsid w:val="00095941"/>
    <w:rsid w:val="000A626E"/>
    <w:rsid w:val="000B0CD0"/>
    <w:rsid w:val="000B7BD1"/>
    <w:rsid w:val="000D2BC9"/>
    <w:rsid w:val="000D35A1"/>
    <w:rsid w:val="000E18B4"/>
    <w:rsid w:val="000E19B0"/>
    <w:rsid w:val="000E4DEE"/>
    <w:rsid w:val="001017F4"/>
    <w:rsid w:val="0011232C"/>
    <w:rsid w:val="001161B6"/>
    <w:rsid w:val="00143352"/>
    <w:rsid w:val="001535BB"/>
    <w:rsid w:val="00167C0E"/>
    <w:rsid w:val="0017424F"/>
    <w:rsid w:val="00190F19"/>
    <w:rsid w:val="0019774F"/>
    <w:rsid w:val="001A4EE8"/>
    <w:rsid w:val="001B5C0D"/>
    <w:rsid w:val="001B5D03"/>
    <w:rsid w:val="001C30D1"/>
    <w:rsid w:val="001C4F2A"/>
    <w:rsid w:val="001D1A17"/>
    <w:rsid w:val="001D3782"/>
    <w:rsid w:val="001D5556"/>
    <w:rsid w:val="001D6464"/>
    <w:rsid w:val="001E1A7D"/>
    <w:rsid w:val="001E47F9"/>
    <w:rsid w:val="001F74E0"/>
    <w:rsid w:val="0020713F"/>
    <w:rsid w:val="00212125"/>
    <w:rsid w:val="0022194C"/>
    <w:rsid w:val="002247B4"/>
    <w:rsid w:val="00226B76"/>
    <w:rsid w:val="002409D1"/>
    <w:rsid w:val="00247FAF"/>
    <w:rsid w:val="00251196"/>
    <w:rsid w:val="00255E84"/>
    <w:rsid w:val="00262599"/>
    <w:rsid w:val="0026331C"/>
    <w:rsid w:val="00264172"/>
    <w:rsid w:val="00265088"/>
    <w:rsid w:val="002740C6"/>
    <w:rsid w:val="002832EC"/>
    <w:rsid w:val="00284D5A"/>
    <w:rsid w:val="002853F8"/>
    <w:rsid w:val="00293641"/>
    <w:rsid w:val="00295687"/>
    <w:rsid w:val="002969C7"/>
    <w:rsid w:val="002A2B5F"/>
    <w:rsid w:val="002B1539"/>
    <w:rsid w:val="002B6765"/>
    <w:rsid w:val="002C1AC6"/>
    <w:rsid w:val="002C3B99"/>
    <w:rsid w:val="002C5A07"/>
    <w:rsid w:val="002D6D20"/>
    <w:rsid w:val="002D7130"/>
    <w:rsid w:val="002E568D"/>
    <w:rsid w:val="002E5E7C"/>
    <w:rsid w:val="002E7B3C"/>
    <w:rsid w:val="00303396"/>
    <w:rsid w:val="003136C8"/>
    <w:rsid w:val="0032506D"/>
    <w:rsid w:val="003265DC"/>
    <w:rsid w:val="00330BA9"/>
    <w:rsid w:val="00333806"/>
    <w:rsid w:val="00333BD8"/>
    <w:rsid w:val="00334E5E"/>
    <w:rsid w:val="00336BCF"/>
    <w:rsid w:val="0034209C"/>
    <w:rsid w:val="00344BD2"/>
    <w:rsid w:val="003547E4"/>
    <w:rsid w:val="0036094B"/>
    <w:rsid w:val="00362567"/>
    <w:rsid w:val="003629C4"/>
    <w:rsid w:val="00367379"/>
    <w:rsid w:val="003828EF"/>
    <w:rsid w:val="00382DD9"/>
    <w:rsid w:val="00385463"/>
    <w:rsid w:val="0039118B"/>
    <w:rsid w:val="00396A81"/>
    <w:rsid w:val="003B025A"/>
    <w:rsid w:val="003B69F3"/>
    <w:rsid w:val="003C138F"/>
    <w:rsid w:val="003C233F"/>
    <w:rsid w:val="003C287F"/>
    <w:rsid w:val="003C3ABD"/>
    <w:rsid w:val="003C7AF5"/>
    <w:rsid w:val="003D3C6B"/>
    <w:rsid w:val="003D4962"/>
    <w:rsid w:val="003E1A49"/>
    <w:rsid w:val="003E5F2A"/>
    <w:rsid w:val="00400088"/>
    <w:rsid w:val="00412EB8"/>
    <w:rsid w:val="00414C05"/>
    <w:rsid w:val="00437C1D"/>
    <w:rsid w:val="004468C6"/>
    <w:rsid w:val="00456602"/>
    <w:rsid w:val="00456F45"/>
    <w:rsid w:val="00463636"/>
    <w:rsid w:val="004727D4"/>
    <w:rsid w:val="00496EA2"/>
    <w:rsid w:val="004A107D"/>
    <w:rsid w:val="004A2F38"/>
    <w:rsid w:val="004A55AA"/>
    <w:rsid w:val="004A6E01"/>
    <w:rsid w:val="004B7734"/>
    <w:rsid w:val="004C364E"/>
    <w:rsid w:val="004C3683"/>
    <w:rsid w:val="004C7871"/>
    <w:rsid w:val="004D2FDB"/>
    <w:rsid w:val="004E4CD6"/>
    <w:rsid w:val="004F391F"/>
    <w:rsid w:val="0050349E"/>
    <w:rsid w:val="005065F5"/>
    <w:rsid w:val="005075F2"/>
    <w:rsid w:val="00525C65"/>
    <w:rsid w:val="00526E8D"/>
    <w:rsid w:val="00545376"/>
    <w:rsid w:val="0055035B"/>
    <w:rsid w:val="00552393"/>
    <w:rsid w:val="00561E8B"/>
    <w:rsid w:val="00570FB9"/>
    <w:rsid w:val="00577F0A"/>
    <w:rsid w:val="0059049D"/>
    <w:rsid w:val="00593C12"/>
    <w:rsid w:val="005968A3"/>
    <w:rsid w:val="00596B13"/>
    <w:rsid w:val="005A3868"/>
    <w:rsid w:val="005B288B"/>
    <w:rsid w:val="005B4C39"/>
    <w:rsid w:val="005B6CA1"/>
    <w:rsid w:val="005C36D6"/>
    <w:rsid w:val="005D0A1E"/>
    <w:rsid w:val="005D7A81"/>
    <w:rsid w:val="005F4031"/>
    <w:rsid w:val="00603BE8"/>
    <w:rsid w:val="00613B49"/>
    <w:rsid w:val="0061639B"/>
    <w:rsid w:val="00635921"/>
    <w:rsid w:val="00636985"/>
    <w:rsid w:val="00645D73"/>
    <w:rsid w:val="006535D3"/>
    <w:rsid w:val="0065778B"/>
    <w:rsid w:val="0066380B"/>
    <w:rsid w:val="006667D9"/>
    <w:rsid w:val="0068458F"/>
    <w:rsid w:val="00684A82"/>
    <w:rsid w:val="006A0F5B"/>
    <w:rsid w:val="006A2E9D"/>
    <w:rsid w:val="006A7CFA"/>
    <w:rsid w:val="006B0A8A"/>
    <w:rsid w:val="006D1C86"/>
    <w:rsid w:val="006D411B"/>
    <w:rsid w:val="006D56B3"/>
    <w:rsid w:val="006D5DBD"/>
    <w:rsid w:val="006D6265"/>
    <w:rsid w:val="006E69B6"/>
    <w:rsid w:val="006E7C0A"/>
    <w:rsid w:val="006F75DB"/>
    <w:rsid w:val="007071CE"/>
    <w:rsid w:val="0071367C"/>
    <w:rsid w:val="007170D9"/>
    <w:rsid w:val="00725113"/>
    <w:rsid w:val="007407E4"/>
    <w:rsid w:val="00742E64"/>
    <w:rsid w:val="00775C00"/>
    <w:rsid w:val="00777300"/>
    <w:rsid w:val="007B4467"/>
    <w:rsid w:val="007B7468"/>
    <w:rsid w:val="007D0ABD"/>
    <w:rsid w:val="007D271D"/>
    <w:rsid w:val="007E1312"/>
    <w:rsid w:val="007E2B99"/>
    <w:rsid w:val="00805DD2"/>
    <w:rsid w:val="00806FC7"/>
    <w:rsid w:val="008216E3"/>
    <w:rsid w:val="0082403C"/>
    <w:rsid w:val="008266B7"/>
    <w:rsid w:val="00831454"/>
    <w:rsid w:val="00831EF0"/>
    <w:rsid w:val="00837CCA"/>
    <w:rsid w:val="00841353"/>
    <w:rsid w:val="008611C2"/>
    <w:rsid w:val="00886A3F"/>
    <w:rsid w:val="00893C69"/>
    <w:rsid w:val="008A08A7"/>
    <w:rsid w:val="008B38E4"/>
    <w:rsid w:val="008B4136"/>
    <w:rsid w:val="008D5C27"/>
    <w:rsid w:val="008E007C"/>
    <w:rsid w:val="008E4D2C"/>
    <w:rsid w:val="00905371"/>
    <w:rsid w:val="009145A0"/>
    <w:rsid w:val="0092117C"/>
    <w:rsid w:val="009216C5"/>
    <w:rsid w:val="009265CB"/>
    <w:rsid w:val="00930CBC"/>
    <w:rsid w:val="00931745"/>
    <w:rsid w:val="00932F11"/>
    <w:rsid w:val="00936774"/>
    <w:rsid w:val="009467EE"/>
    <w:rsid w:val="009521D4"/>
    <w:rsid w:val="00955DAF"/>
    <w:rsid w:val="009566F6"/>
    <w:rsid w:val="009604E3"/>
    <w:rsid w:val="009663D0"/>
    <w:rsid w:val="00994730"/>
    <w:rsid w:val="009B0A6F"/>
    <w:rsid w:val="009B3D47"/>
    <w:rsid w:val="009C2DF8"/>
    <w:rsid w:val="009C5BC9"/>
    <w:rsid w:val="009C76FA"/>
    <w:rsid w:val="009D00E1"/>
    <w:rsid w:val="009D182F"/>
    <w:rsid w:val="009D3081"/>
    <w:rsid w:val="009F1139"/>
    <w:rsid w:val="009F3190"/>
    <w:rsid w:val="009F3C46"/>
    <w:rsid w:val="009F3CA1"/>
    <w:rsid w:val="00A0348F"/>
    <w:rsid w:val="00A24941"/>
    <w:rsid w:val="00A330B8"/>
    <w:rsid w:val="00A34CFE"/>
    <w:rsid w:val="00A40033"/>
    <w:rsid w:val="00A40A9E"/>
    <w:rsid w:val="00A51FF5"/>
    <w:rsid w:val="00A53AF4"/>
    <w:rsid w:val="00A54C4D"/>
    <w:rsid w:val="00A732A1"/>
    <w:rsid w:val="00A75077"/>
    <w:rsid w:val="00A7554D"/>
    <w:rsid w:val="00A82579"/>
    <w:rsid w:val="00A87809"/>
    <w:rsid w:val="00A909D5"/>
    <w:rsid w:val="00AA24F9"/>
    <w:rsid w:val="00AA44B6"/>
    <w:rsid w:val="00AA5FA1"/>
    <w:rsid w:val="00AB06A4"/>
    <w:rsid w:val="00AB37A8"/>
    <w:rsid w:val="00AB51CF"/>
    <w:rsid w:val="00AD140B"/>
    <w:rsid w:val="00AD6133"/>
    <w:rsid w:val="00AD7EC7"/>
    <w:rsid w:val="00AE48B3"/>
    <w:rsid w:val="00AE72B5"/>
    <w:rsid w:val="00AF2109"/>
    <w:rsid w:val="00AF2FC2"/>
    <w:rsid w:val="00B00D67"/>
    <w:rsid w:val="00B0344A"/>
    <w:rsid w:val="00B052C1"/>
    <w:rsid w:val="00B12CF9"/>
    <w:rsid w:val="00B1790F"/>
    <w:rsid w:val="00B25185"/>
    <w:rsid w:val="00B36B17"/>
    <w:rsid w:val="00B418B4"/>
    <w:rsid w:val="00B525E9"/>
    <w:rsid w:val="00B60366"/>
    <w:rsid w:val="00B6268C"/>
    <w:rsid w:val="00B65400"/>
    <w:rsid w:val="00B71FFC"/>
    <w:rsid w:val="00B81B5F"/>
    <w:rsid w:val="00B833EB"/>
    <w:rsid w:val="00B872BB"/>
    <w:rsid w:val="00B97C2A"/>
    <w:rsid w:val="00BA2117"/>
    <w:rsid w:val="00BB156F"/>
    <w:rsid w:val="00BB6B78"/>
    <w:rsid w:val="00BB7A5C"/>
    <w:rsid w:val="00BC5126"/>
    <w:rsid w:val="00BD697D"/>
    <w:rsid w:val="00BE0125"/>
    <w:rsid w:val="00BF11B2"/>
    <w:rsid w:val="00C04120"/>
    <w:rsid w:val="00C150F3"/>
    <w:rsid w:val="00C234CD"/>
    <w:rsid w:val="00C3703B"/>
    <w:rsid w:val="00C4058E"/>
    <w:rsid w:val="00C51F90"/>
    <w:rsid w:val="00C56D65"/>
    <w:rsid w:val="00C70C26"/>
    <w:rsid w:val="00C80D67"/>
    <w:rsid w:val="00C86F7D"/>
    <w:rsid w:val="00CA2E06"/>
    <w:rsid w:val="00CB0602"/>
    <w:rsid w:val="00CB4DFF"/>
    <w:rsid w:val="00CB55C7"/>
    <w:rsid w:val="00CC2B32"/>
    <w:rsid w:val="00CC5AA9"/>
    <w:rsid w:val="00CC6713"/>
    <w:rsid w:val="00CD01E8"/>
    <w:rsid w:val="00CD282B"/>
    <w:rsid w:val="00CD4E4C"/>
    <w:rsid w:val="00CE4425"/>
    <w:rsid w:val="00CE4D30"/>
    <w:rsid w:val="00D203BC"/>
    <w:rsid w:val="00D26218"/>
    <w:rsid w:val="00D27BBB"/>
    <w:rsid w:val="00D360F6"/>
    <w:rsid w:val="00D4730B"/>
    <w:rsid w:val="00D478F0"/>
    <w:rsid w:val="00D57F9D"/>
    <w:rsid w:val="00D6078D"/>
    <w:rsid w:val="00D62B0B"/>
    <w:rsid w:val="00D77E3E"/>
    <w:rsid w:val="00D77FF4"/>
    <w:rsid w:val="00D862CA"/>
    <w:rsid w:val="00D91DE2"/>
    <w:rsid w:val="00D95763"/>
    <w:rsid w:val="00DA1375"/>
    <w:rsid w:val="00DB4549"/>
    <w:rsid w:val="00DD00EF"/>
    <w:rsid w:val="00DF4B71"/>
    <w:rsid w:val="00E00B98"/>
    <w:rsid w:val="00E07C91"/>
    <w:rsid w:val="00E07E4C"/>
    <w:rsid w:val="00E10DBF"/>
    <w:rsid w:val="00E1171A"/>
    <w:rsid w:val="00E1329F"/>
    <w:rsid w:val="00E14942"/>
    <w:rsid w:val="00E27960"/>
    <w:rsid w:val="00E34AC6"/>
    <w:rsid w:val="00E36EC4"/>
    <w:rsid w:val="00E4792E"/>
    <w:rsid w:val="00E56FD1"/>
    <w:rsid w:val="00E844FF"/>
    <w:rsid w:val="00E858F2"/>
    <w:rsid w:val="00E871C7"/>
    <w:rsid w:val="00E93154"/>
    <w:rsid w:val="00E94E74"/>
    <w:rsid w:val="00E96174"/>
    <w:rsid w:val="00EB3F82"/>
    <w:rsid w:val="00EC2BAF"/>
    <w:rsid w:val="00ED22C8"/>
    <w:rsid w:val="00EE7462"/>
    <w:rsid w:val="00EE7491"/>
    <w:rsid w:val="00EF1338"/>
    <w:rsid w:val="00F0130A"/>
    <w:rsid w:val="00F0135F"/>
    <w:rsid w:val="00F02449"/>
    <w:rsid w:val="00F060ED"/>
    <w:rsid w:val="00F066D4"/>
    <w:rsid w:val="00F110FE"/>
    <w:rsid w:val="00F16767"/>
    <w:rsid w:val="00F24081"/>
    <w:rsid w:val="00F24825"/>
    <w:rsid w:val="00F3099B"/>
    <w:rsid w:val="00F32152"/>
    <w:rsid w:val="00F325F4"/>
    <w:rsid w:val="00F34C2E"/>
    <w:rsid w:val="00F365F3"/>
    <w:rsid w:val="00F36A25"/>
    <w:rsid w:val="00F40F37"/>
    <w:rsid w:val="00F47E41"/>
    <w:rsid w:val="00F55062"/>
    <w:rsid w:val="00F64152"/>
    <w:rsid w:val="00F65085"/>
    <w:rsid w:val="00F66264"/>
    <w:rsid w:val="00F75F85"/>
    <w:rsid w:val="00F84BC2"/>
    <w:rsid w:val="00F8627B"/>
    <w:rsid w:val="00F87234"/>
    <w:rsid w:val="00F91681"/>
    <w:rsid w:val="00F934E1"/>
    <w:rsid w:val="00F9539F"/>
    <w:rsid w:val="00FA08CE"/>
    <w:rsid w:val="00FB4190"/>
    <w:rsid w:val="00FC0100"/>
    <w:rsid w:val="00FC25D3"/>
    <w:rsid w:val="00FC6AEE"/>
    <w:rsid w:val="00FC7B12"/>
    <w:rsid w:val="00FD54E3"/>
    <w:rsid w:val="00FF6B6A"/>
    <w:rsid w:val="00FF78A1"/>
    <w:rsid w:val="00FF7B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175E81"/>
  <w15:chartTrackingRefBased/>
  <w15:docId w15:val="{F07B62E7-5D87-4794-B9B3-8D539EB73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customStyle="1" w:styleId="Texto">
    <w:name w:val="Texto"/>
    <w:basedOn w:val="Normal"/>
    <w:link w:val="TextoCar"/>
    <w:rsid w:val="00414C05"/>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414C05"/>
    <w:rPr>
      <w:rFonts w:ascii="Arial" w:eastAsia="Times New Roman" w:hAnsi="Arial" w:cs="Arial"/>
      <w:sz w:val="18"/>
      <w:szCs w:val="18"/>
      <w:lang w:val="es-ES" w:eastAsia="es-ES"/>
    </w:rPr>
  </w:style>
  <w:style w:type="table" w:styleId="Tablaconcuadrcula">
    <w:name w:val="Table Grid"/>
    <w:basedOn w:val="Tablanormal"/>
    <w:uiPriority w:val="39"/>
    <w:rsid w:val="004A55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F066D4"/>
    <w:pPr>
      <w:spacing w:after="0" w:line="240" w:lineRule="auto"/>
    </w:pPr>
  </w:style>
  <w:style w:type="paragraph" w:customStyle="1" w:styleId="Default">
    <w:name w:val="Default"/>
    <w:rsid w:val="00F066D4"/>
    <w:pPr>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iPriority w:val="99"/>
    <w:unhideWhenUsed/>
    <w:rsid w:val="00E9617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96174"/>
  </w:style>
  <w:style w:type="paragraph" w:styleId="Piedepgina">
    <w:name w:val="footer"/>
    <w:basedOn w:val="Normal"/>
    <w:link w:val="PiedepginaCar"/>
    <w:uiPriority w:val="99"/>
    <w:unhideWhenUsed/>
    <w:rsid w:val="00E9617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961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296374249">
          <w:marLeft w:val="0"/>
          <w:marRight w:val="0"/>
          <w:marTop w:val="0"/>
          <w:marBottom w:val="0"/>
          <w:divBdr>
            <w:top w:val="none" w:sz="0" w:space="0" w:color="auto"/>
            <w:left w:val="none" w:sz="0" w:space="0" w:color="auto"/>
            <w:bottom w:val="none" w:sz="0" w:space="0" w:color="auto"/>
            <w:right w:val="none" w:sz="0" w:space="0" w:color="auto"/>
          </w:divBdr>
        </w:div>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8.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6.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7.xml"/><Relationship Id="rId33" Type="http://schemas.openxmlformats.org/officeDocument/2006/relationships/chart" Target="charts/chart1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chart" Target="charts/chart14.xm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chart" Target="charts/chart17.xml"/></Relationships>
</file>

<file path=word/charts/_rels/chart1.xml.rels><?xml version="1.0" encoding="UTF-8" standalone="yes"?>
<Relationships xmlns="http://schemas.openxmlformats.org/package/2006/relationships"><Relationship Id="rId3" Type="http://schemas.openxmlformats.org/officeDocument/2006/relationships/oleObject" Target="file:///D:\Users\ad014629\Downloads\pob_mit_proyecciones%20(2).csv"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Users\ad014629\Documents\envejecimiento_CDMX.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Users\ad014629\Documents\morbilidad_201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wnloads\DP_LIVE_15032019000600520.csv"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2" Type="http://schemas.openxmlformats.org/officeDocument/2006/relationships/oleObject" Target="https://lasallemx-my.sharepoint.com/personal/margarita_arias_lasalle_mx/Documents/Desktop/Especialidades%20Medicas/Eme%20Esp%20Medicas%20Intersedes/Pediatria/Cuantitativo%20Especifico/Busqueda%20cuantitativa%20PEDIATRIA%20especifico.XLS" TargetMode="External"/><Relationship Id="rId1" Type="http://schemas.openxmlformats.org/officeDocument/2006/relationships/themeOverride" Target="../theme/themeOverride1.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https://lasallemx-my.sharepoint.com/personal/margarita_arias_lasalle_mx/Documents/Desktop/Especialidades%20Medicas/Eme%20Esp%20Medicas%20Intersedes/Pediatria/Cuantitativo%20Especifico/Busqueda%20cuantitativa%20PEDIATRIA%20especifico.XLS"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https://lasallemx-my.sharepoint.com/personal/margarita_arias_lasalle_mx/Documents/Desktop/Especialidades%20Medicas/Eme%20Esp%20Medicas%20Intersedes/Pediatria/Cuantitativo%20Especifico/Busqueda%20cuantitativa%20PEDIATRIA%20especifico.XLS"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https://lasallemx-my.sharepoint.com/personal/margarita_arias_lasalle_mx/Documents/Desktop/Especialidades%20Medicas/Eme%20Esp%20Medicas%20Intersedes/Pediatria/Cuantitativo%20Especifico/Busqueda%20cuantitativa%20PEDIATRIA%20especifico.XLS" TargetMode="External"/></Relationships>
</file>

<file path=word/charts/_rels/chart17.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6.xml"/><Relationship Id="rId1" Type="http://schemas.microsoft.com/office/2011/relationships/chartStyle" Target="style1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88B7-461C-A234-26A2FC12DC6D}"/>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88B7-461C-A234-26A2FC12DC6D}"/>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88B7-461C-A234-26A2FC12DC6D}"/>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88B7-461C-A234-26A2FC12DC6D}"/>
            </c:ext>
          </c:extLst>
        </c:ser>
        <c:dLbls>
          <c:showLegendKey val="0"/>
          <c:showVal val="0"/>
          <c:showCatName val="0"/>
          <c:showSerName val="0"/>
          <c:showPercent val="0"/>
          <c:showBubbleSize val="0"/>
        </c:dLbls>
        <c:gapWidth val="0"/>
        <c:overlap val="100"/>
        <c:axId val="190813552"/>
        <c:axId val="190812992"/>
      </c:barChart>
      <c:catAx>
        <c:axId val="1908135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0812992"/>
        <c:crosses val="autoZero"/>
        <c:auto val="1"/>
        <c:lblAlgn val="ctr"/>
        <c:lblOffset val="100"/>
        <c:noMultiLvlLbl val="0"/>
      </c:catAx>
      <c:valAx>
        <c:axId val="19081299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08135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9386-46B7-B949-594888856F72}"/>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9386-46B7-B949-594888856F72}"/>
            </c:ext>
          </c:extLst>
        </c:ser>
        <c:dLbls>
          <c:showLegendKey val="0"/>
          <c:showVal val="0"/>
          <c:showCatName val="0"/>
          <c:showSerName val="0"/>
          <c:showPercent val="0"/>
          <c:showBubbleSize val="0"/>
        </c:dLbls>
        <c:gapWidth val="0"/>
        <c:overlap val="100"/>
        <c:axId val="431714384"/>
        <c:axId val="431718304"/>
      </c:barChart>
      <c:catAx>
        <c:axId val="43171438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1718304"/>
        <c:crosses val="autoZero"/>
        <c:auto val="1"/>
        <c:lblAlgn val="ctr"/>
        <c:lblOffset val="100"/>
        <c:noMultiLvlLbl val="0"/>
      </c:catAx>
      <c:valAx>
        <c:axId val="43171830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171438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D99D-459A-A429-260EDC1742EF}"/>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D99D-459A-A429-260EDC1742EF}"/>
            </c:ext>
          </c:extLst>
        </c:ser>
        <c:dLbls>
          <c:showLegendKey val="0"/>
          <c:showVal val="0"/>
          <c:showCatName val="0"/>
          <c:showSerName val="0"/>
          <c:showPercent val="0"/>
          <c:showBubbleSize val="0"/>
        </c:dLbls>
        <c:gapWidth val="0"/>
        <c:overlap val="100"/>
        <c:axId val="433224288"/>
        <c:axId val="436108608"/>
      </c:barChart>
      <c:catAx>
        <c:axId val="43322428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6108608"/>
        <c:crosses val="autoZero"/>
        <c:auto val="1"/>
        <c:lblAlgn val="ctr"/>
        <c:lblOffset val="100"/>
        <c:noMultiLvlLbl val="0"/>
      </c:catAx>
      <c:valAx>
        <c:axId val="43610860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322428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DA4D-41DE-9A3A-C4A190FE236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DA4D-41DE-9A3A-C4A190FE2361}"/>
            </c:ext>
          </c:extLst>
        </c:ser>
        <c:dLbls>
          <c:showLegendKey val="0"/>
          <c:showVal val="0"/>
          <c:showCatName val="0"/>
          <c:showSerName val="0"/>
          <c:showPercent val="0"/>
          <c:showBubbleSize val="0"/>
        </c:dLbls>
        <c:smooth val="0"/>
        <c:axId val="440716384"/>
        <c:axId val="440719744"/>
      </c:lineChart>
      <c:catAx>
        <c:axId val="44071638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0719744"/>
        <c:crosses val="autoZero"/>
        <c:auto val="1"/>
        <c:lblAlgn val="ctr"/>
        <c:lblOffset val="100"/>
        <c:noMultiLvlLbl val="0"/>
      </c:catAx>
      <c:valAx>
        <c:axId val="44071974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071638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4C08-4C6E-BF53-416F1005342F}"/>
              </c:ext>
            </c:extLst>
          </c:dPt>
          <c:dPt>
            <c:idx val="25"/>
            <c:invertIfNegative val="0"/>
            <c:bubble3D val="0"/>
            <c:spPr>
              <a:solidFill>
                <a:srgbClr val="00B050"/>
              </a:solidFill>
              <a:ln>
                <a:noFill/>
              </a:ln>
              <a:effectLst/>
            </c:spPr>
            <c:extLst>
              <c:ext xmlns:c16="http://schemas.microsoft.com/office/drawing/2014/chart" uri="{C3380CC4-5D6E-409C-BE32-E72D297353CC}">
                <c16:uniqueId val="{00000003-4C08-4C6E-BF53-416F1005342F}"/>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08-4C6E-BF53-416F1005342F}"/>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08-4C6E-BF53-416F1005342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4C08-4C6E-BF53-416F1005342F}"/>
            </c:ext>
          </c:extLst>
        </c:ser>
        <c:dLbls>
          <c:showLegendKey val="0"/>
          <c:showVal val="0"/>
          <c:showCatName val="0"/>
          <c:showSerName val="0"/>
          <c:showPercent val="0"/>
          <c:showBubbleSize val="0"/>
        </c:dLbls>
        <c:gapWidth val="90"/>
        <c:overlap val="50"/>
        <c:axId val="343719456"/>
        <c:axId val="343717776"/>
      </c:barChart>
      <c:catAx>
        <c:axId val="34371945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343717776"/>
        <c:crosses val="autoZero"/>
        <c:auto val="1"/>
        <c:lblAlgn val="ctr"/>
        <c:lblOffset val="100"/>
        <c:noMultiLvlLbl val="0"/>
      </c:catAx>
      <c:valAx>
        <c:axId val="343717776"/>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34371945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Servicios</c:v>
          </c:tx>
          <c:spPr>
            <a:ln w="50800" cap="rnd">
              <a:solidFill>
                <a:schemeClr val="accent1"/>
              </a:solidFill>
              <a:round/>
            </a:ln>
            <a:effectLst/>
          </c:spPr>
          <c:marker>
            <c:symbol val="circle"/>
            <c:size val="6"/>
            <c:spPr>
              <a:solidFill>
                <a:schemeClr val="lt1"/>
              </a:solidFill>
              <a:ln w="15875">
                <a:solidFill>
                  <a:schemeClr val="accent1"/>
                </a:solidFill>
                <a:round/>
              </a:ln>
              <a:effectLst/>
            </c:spPr>
          </c:marker>
          <c:cat>
            <c:numRef>
              <c:f>Pediatría!$C$6:$C$28</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Pediatría!$M$23:$M$45</c:f>
              <c:numCache>
                <c:formatCode>General</c:formatCode>
                <c:ptCount val="23"/>
                <c:pt idx="0">
                  <c:v>632426</c:v>
                </c:pt>
                <c:pt idx="1">
                  <c:v>622897</c:v>
                </c:pt>
                <c:pt idx="2">
                  <c:v>638341</c:v>
                </c:pt>
                <c:pt idx="3">
                  <c:v>628127</c:v>
                </c:pt>
                <c:pt idx="4">
                  <c:v>666517</c:v>
                </c:pt>
                <c:pt idx="5">
                  <c:v>674939</c:v>
                </c:pt>
                <c:pt idx="6">
                  <c:v>659485</c:v>
                </c:pt>
                <c:pt idx="7">
                  <c:v>725021</c:v>
                </c:pt>
                <c:pt idx="8">
                  <c:v>664790</c:v>
                </c:pt>
                <c:pt idx="9">
                  <c:v>678369</c:v>
                </c:pt>
                <c:pt idx="10">
                  <c:v>727320</c:v>
                </c:pt>
                <c:pt idx="11">
                  <c:v>723352</c:v>
                </c:pt>
                <c:pt idx="12">
                  <c:v>729490</c:v>
                </c:pt>
                <c:pt idx="13">
                  <c:v>733970</c:v>
                </c:pt>
                <c:pt idx="14">
                  <c:v>742853</c:v>
                </c:pt>
                <c:pt idx="15">
                  <c:v>735743</c:v>
                </c:pt>
                <c:pt idx="16">
                  <c:v>727578</c:v>
                </c:pt>
                <c:pt idx="17">
                  <c:v>749703.75211091526</c:v>
                </c:pt>
              </c:numCache>
            </c:numRef>
          </c:val>
          <c:smooth val="0"/>
          <c:extLst>
            <c:ext xmlns:c16="http://schemas.microsoft.com/office/drawing/2014/chart" uri="{C3380CC4-5D6E-409C-BE32-E72D297353CC}">
              <c16:uniqueId val="{00000000-CFFB-4CF3-8202-49443302EA22}"/>
            </c:ext>
          </c:extLst>
        </c:ser>
        <c:ser>
          <c:idx val="1"/>
          <c:order val="1"/>
          <c:tx>
            <c:v>Tendencia</c:v>
          </c:tx>
          <c:spPr>
            <a:ln w="25400" cap="rnd">
              <a:solidFill>
                <a:srgbClr val="C00000"/>
              </a:solidFill>
              <a:round/>
            </a:ln>
            <a:effectLst/>
          </c:spPr>
          <c:marker>
            <c:symbol val="none"/>
          </c:marker>
          <c:cat>
            <c:numRef>
              <c:f>Pediatría!$C$6:$C$28</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Pediatría!$N$23:$N$45</c:f>
              <c:numCache>
                <c:formatCode>General</c:formatCode>
                <c:ptCount val="23"/>
                <c:pt idx="0">
                  <c:v>624140.75844286103</c:v>
                </c:pt>
                <c:pt idx="1">
                  <c:v>629807.85836110695</c:v>
                </c:pt>
                <c:pt idx="2">
                  <c:v>636855.83187220898</c:v>
                </c:pt>
                <c:pt idx="3">
                  <c:v>645513.74284217402</c:v>
                </c:pt>
                <c:pt idx="4">
                  <c:v>656258.18315830501</c:v>
                </c:pt>
                <c:pt idx="5">
                  <c:v>666667.95423420903</c:v>
                </c:pt>
                <c:pt idx="6">
                  <c:v>676031.66029044602</c:v>
                </c:pt>
                <c:pt idx="7">
                  <c:v>685016.413175205</c:v>
                </c:pt>
                <c:pt idx="8">
                  <c:v>691531.54802159895</c:v>
                </c:pt>
                <c:pt idx="9">
                  <c:v>700153.83110020903</c:v>
                </c:pt>
                <c:pt idx="10">
                  <c:v>711003.10401135206</c:v>
                </c:pt>
                <c:pt idx="11">
                  <c:v>720568.40317197097</c:v>
                </c:pt>
                <c:pt idx="12">
                  <c:v>728058.24766378896</c:v>
                </c:pt>
                <c:pt idx="13">
                  <c:v>733145.08937319706</c:v>
                </c:pt>
                <c:pt idx="14">
                  <c:v>735740.00557595701</c:v>
                </c:pt>
                <c:pt idx="15">
                  <c:v>735891.55865229503</c:v>
                </c:pt>
                <c:pt idx="16">
                  <c:v>734833.81005311501</c:v>
                </c:pt>
              </c:numCache>
            </c:numRef>
          </c:val>
          <c:smooth val="0"/>
          <c:extLst>
            <c:ext xmlns:c16="http://schemas.microsoft.com/office/drawing/2014/chart" uri="{C3380CC4-5D6E-409C-BE32-E72D297353CC}">
              <c16:uniqueId val="{00000001-CFFB-4CF3-8202-49443302EA22}"/>
            </c:ext>
          </c:extLst>
        </c:ser>
        <c:ser>
          <c:idx val="2"/>
          <c:order val="2"/>
          <c:tx>
            <c:v>Pronóstico</c:v>
          </c:tx>
          <c:spPr>
            <a:ln w="50800" cap="rnd">
              <a:solidFill>
                <a:schemeClr val="accent3"/>
              </a:solidFill>
              <a:round/>
            </a:ln>
            <a:effectLst/>
          </c:spPr>
          <c:marker>
            <c:symbol val="circle"/>
            <c:size val="6"/>
            <c:spPr>
              <a:solidFill>
                <a:schemeClr val="lt1"/>
              </a:solidFill>
              <a:ln w="15875">
                <a:solidFill>
                  <a:schemeClr val="accent3"/>
                </a:solidFill>
                <a:round/>
              </a:ln>
              <a:effectLst/>
            </c:spPr>
          </c:marker>
          <c:cat>
            <c:numRef>
              <c:f>Pediatría!$C$6:$C$28</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Pediatría!$O$23:$O$45</c:f>
              <c:numCache>
                <c:formatCode>General</c:formatCode>
                <c:ptCount val="23"/>
                <c:pt idx="16" formatCode="_-* #,##0_-;\-* #,##0_-;_-* &quot;-&quot;??_-;_-@_-">
                  <c:v>727578</c:v>
                </c:pt>
                <c:pt idx="17" formatCode="_-* #,##0_-;\-* #,##0_-;_-* &quot;-&quot;??_-;_-@_-">
                  <c:v>749703.75211091526</c:v>
                </c:pt>
                <c:pt idx="18" formatCode="_-* #,##0_-;\-* #,##0_-;_-* &quot;-&quot;??_-;_-@_-">
                  <c:v>748886.27846123173</c:v>
                </c:pt>
                <c:pt idx="19" formatCode="_-* #,##0_-;\-* #,##0_-;_-* &quot;-&quot;??_-;_-@_-">
                  <c:v>753914.45874568343</c:v>
                </c:pt>
                <c:pt idx="20" formatCode="_-* #,##0_-;\-* #,##0_-;_-* &quot;-&quot;??_-;_-@_-">
                  <c:v>755810.61635797797</c:v>
                </c:pt>
                <c:pt idx="21" formatCode="_-* #,##0_-;\-* #,##0_-;_-* &quot;-&quot;??_-;_-@_-">
                  <c:v>758407.7714638469</c:v>
                </c:pt>
                <c:pt idx="22" formatCode="_-* #,##0_-;\-* #,##0_-;_-* &quot;-&quot;??_-;_-@_-">
                  <c:v>760069.41561737377</c:v>
                </c:pt>
              </c:numCache>
            </c:numRef>
          </c:val>
          <c:smooth val="0"/>
          <c:extLst>
            <c:ext xmlns:c16="http://schemas.microsoft.com/office/drawing/2014/chart" uri="{C3380CC4-5D6E-409C-BE32-E72D297353CC}">
              <c16:uniqueId val="{00000002-CFFB-4CF3-8202-49443302EA22}"/>
            </c:ext>
          </c:extLst>
        </c:ser>
        <c:ser>
          <c:idx val="3"/>
          <c:order val="3"/>
          <c:tx>
            <c:v>Lim.Inf.</c:v>
          </c:tx>
          <c:spPr>
            <a:ln w="22225" cap="rnd">
              <a:solidFill>
                <a:schemeClr val="tx1"/>
              </a:solidFill>
              <a:prstDash val="dash"/>
              <a:round/>
            </a:ln>
            <a:effectLst/>
          </c:spPr>
          <c:marker>
            <c:symbol val="none"/>
          </c:marker>
          <c:cat>
            <c:numRef>
              <c:f>Pediatría!$C$6:$C$28</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Pediatría!$P$23:$P$45</c:f>
              <c:numCache>
                <c:formatCode>General</c:formatCode>
                <c:ptCount val="23"/>
                <c:pt idx="16" formatCode="_-* #,##0_-;\-* #,##0_-;_-* &quot;-&quot;??_-;_-@_-">
                  <c:v>727578</c:v>
                </c:pt>
                <c:pt idx="17" formatCode="_-* #,##0_-;\-* #,##0_-;_-* &quot;-&quot;??_-;_-@_-">
                  <c:v>722648.16142893699</c:v>
                </c:pt>
                <c:pt idx="18" formatCode="_-* #,##0_-;\-* #,##0_-;_-* &quot;-&quot;??_-;_-@_-">
                  <c:v>719467.92451426899</c:v>
                </c:pt>
                <c:pt idx="19" formatCode="_-* #,##0_-;\-* #,##0_-;_-* &quot;-&quot;??_-;_-@_-">
                  <c:v>724085.56576763117</c:v>
                </c:pt>
                <c:pt idx="20" formatCode="_-* #,##0_-;\-* #,##0_-;_-* &quot;-&quot;??_-;_-@_-">
                  <c:v>725907.49503776617</c:v>
                </c:pt>
                <c:pt idx="21" formatCode="_-* #,##0_-;\-* #,##0_-;_-* &quot;-&quot;??_-;_-@_-">
                  <c:v>728491.13917159417</c:v>
                </c:pt>
                <c:pt idx="22" formatCode="_-* #,##0_-;\-* #,##0_-;_-* &quot;-&quot;??_-;_-@_-">
                  <c:v>730150.32111598481</c:v>
                </c:pt>
              </c:numCache>
            </c:numRef>
          </c:val>
          <c:smooth val="0"/>
          <c:extLst>
            <c:ext xmlns:c16="http://schemas.microsoft.com/office/drawing/2014/chart" uri="{C3380CC4-5D6E-409C-BE32-E72D297353CC}">
              <c16:uniqueId val="{00000003-CFFB-4CF3-8202-49443302EA22}"/>
            </c:ext>
          </c:extLst>
        </c:ser>
        <c:ser>
          <c:idx val="4"/>
          <c:order val="4"/>
          <c:tx>
            <c:v>Lim.Sup.</c:v>
          </c:tx>
          <c:spPr>
            <a:ln w="22225" cap="rnd">
              <a:solidFill>
                <a:schemeClr val="tx1"/>
              </a:solidFill>
              <a:prstDash val="dash"/>
              <a:round/>
            </a:ln>
            <a:effectLst/>
          </c:spPr>
          <c:marker>
            <c:symbol val="none"/>
          </c:marker>
          <c:cat>
            <c:numRef>
              <c:f>Pediatría!$C$6:$C$28</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Pediatría!$Q$23:$Q$45</c:f>
              <c:numCache>
                <c:formatCode>General</c:formatCode>
                <c:ptCount val="23"/>
                <c:pt idx="16" formatCode="_-* #,##0_-;\-* #,##0_-;_-* &quot;-&quot;??_-;_-@_-">
                  <c:v>727578</c:v>
                </c:pt>
                <c:pt idx="17" formatCode="_-* #,##0_-;\-* #,##0_-;_-* &quot;-&quot;??_-;_-@_-">
                  <c:v>776759.34279289341</c:v>
                </c:pt>
                <c:pt idx="18" formatCode="_-* #,##0_-;\-* #,##0_-;_-* &quot;-&quot;??_-;_-@_-">
                  <c:v>778304.63240819448</c:v>
                </c:pt>
                <c:pt idx="19" formatCode="_-* #,##0_-;\-* #,##0_-;_-* &quot;-&quot;??_-;_-@_-">
                  <c:v>783743.35172373557</c:v>
                </c:pt>
                <c:pt idx="20" formatCode="_-* #,##0_-;\-* #,##0_-;_-* &quot;-&quot;??_-;_-@_-">
                  <c:v>785713.73767818976</c:v>
                </c:pt>
                <c:pt idx="21" formatCode="_-* #,##0_-;\-* #,##0_-;_-* &quot;-&quot;??_-;_-@_-">
                  <c:v>788324.40375609964</c:v>
                </c:pt>
                <c:pt idx="22" formatCode="_-* #,##0_-;\-* #,##0_-;_-* &quot;-&quot;??_-;_-@_-">
                  <c:v>789988.51011876261</c:v>
                </c:pt>
              </c:numCache>
            </c:numRef>
          </c:val>
          <c:smooth val="0"/>
          <c:extLst>
            <c:ext xmlns:c16="http://schemas.microsoft.com/office/drawing/2014/chart" uri="{C3380CC4-5D6E-409C-BE32-E72D297353CC}">
              <c16:uniqueId val="{00000004-CFFB-4CF3-8202-49443302EA22}"/>
            </c:ext>
          </c:extLst>
        </c:ser>
        <c:dLbls>
          <c:showLegendKey val="0"/>
          <c:showVal val="0"/>
          <c:showCatName val="0"/>
          <c:showSerName val="0"/>
          <c:showPercent val="0"/>
          <c:showBubbleSize val="0"/>
        </c:dLbls>
        <c:marker val="1"/>
        <c:smooth val="0"/>
        <c:axId val="794912144"/>
        <c:axId val="794912704"/>
      </c:lineChart>
      <c:catAx>
        <c:axId val="79491214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794912704"/>
        <c:crosses val="autoZero"/>
        <c:auto val="1"/>
        <c:lblAlgn val="ctr"/>
        <c:lblOffset val="100"/>
        <c:noMultiLvlLbl val="0"/>
      </c:catAx>
      <c:valAx>
        <c:axId val="794912704"/>
        <c:scaling>
          <c:orientation val="minMax"/>
          <c:min val="5500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Servicios otorgados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9491214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FB0C-4C23-A7BD-0891DCEA702D}"/>
              </c:ext>
            </c:extLst>
          </c:dPt>
          <c:dPt>
            <c:idx val="17"/>
            <c:invertIfNegative val="0"/>
            <c:bubble3D val="0"/>
            <c:spPr>
              <a:solidFill>
                <a:srgbClr val="00B050"/>
              </a:solidFill>
              <a:ln>
                <a:noFill/>
              </a:ln>
              <a:effectLst/>
            </c:spPr>
            <c:extLst>
              <c:ext xmlns:c16="http://schemas.microsoft.com/office/drawing/2014/chart" uri="{C3380CC4-5D6E-409C-BE32-E72D297353CC}">
                <c16:uniqueId val="{00000003-FB0C-4C23-A7BD-0891DCEA702D}"/>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B0C-4C23-A7BD-0891DCEA702D}"/>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0C-4C23-A7BD-0891DCEA702D}"/>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FB0C-4C23-A7BD-0891DCEA702D}"/>
            </c:ext>
          </c:extLst>
        </c:ser>
        <c:dLbls>
          <c:showLegendKey val="0"/>
          <c:showVal val="0"/>
          <c:showCatName val="0"/>
          <c:showSerName val="0"/>
          <c:showPercent val="0"/>
          <c:showBubbleSize val="0"/>
        </c:dLbls>
        <c:gapWidth val="60"/>
        <c:overlap val="100"/>
        <c:axId val="159720384"/>
        <c:axId val="159721504"/>
      </c:barChart>
      <c:catAx>
        <c:axId val="15972038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159721504"/>
        <c:crosses val="autoZero"/>
        <c:auto val="1"/>
        <c:lblAlgn val="ctr"/>
        <c:lblOffset val="100"/>
        <c:noMultiLvlLbl val="0"/>
      </c:catAx>
      <c:valAx>
        <c:axId val="159721504"/>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5972038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0DC8-481E-9574-97F313C96BC1}"/>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0DC8-481E-9574-97F313C96BC1}"/>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0DC8-481E-9574-97F313C96BC1}"/>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0DC8-481E-9574-97F313C96BC1}"/>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0DC8-481E-9574-97F313C96BC1}"/>
            </c:ext>
          </c:extLst>
        </c:ser>
        <c:dLbls>
          <c:showLegendKey val="0"/>
          <c:showVal val="0"/>
          <c:showCatName val="0"/>
          <c:showSerName val="0"/>
          <c:showPercent val="0"/>
          <c:showBubbleSize val="0"/>
        </c:dLbls>
        <c:marker val="1"/>
        <c:smooth val="0"/>
        <c:axId val="282944816"/>
        <c:axId val="282945376"/>
      </c:lineChart>
      <c:catAx>
        <c:axId val="28294481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82945376"/>
        <c:crosses val="autoZero"/>
        <c:auto val="1"/>
        <c:lblAlgn val="ctr"/>
        <c:lblOffset val="100"/>
        <c:noMultiLvlLbl val="0"/>
      </c:catAx>
      <c:valAx>
        <c:axId val="282945376"/>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8294481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Hoja1!$A$33:$A$39</c:f>
              <c:numCache>
                <c:formatCode>General</c:formatCode>
                <c:ptCount val="7"/>
                <c:pt idx="0">
                  <c:v>2012</c:v>
                </c:pt>
                <c:pt idx="1">
                  <c:v>2013</c:v>
                </c:pt>
                <c:pt idx="2">
                  <c:v>2014</c:v>
                </c:pt>
                <c:pt idx="3">
                  <c:v>2015</c:v>
                </c:pt>
                <c:pt idx="4">
                  <c:v>2016</c:v>
                </c:pt>
                <c:pt idx="5">
                  <c:v>2017</c:v>
                </c:pt>
                <c:pt idx="6">
                  <c:v>2018</c:v>
                </c:pt>
              </c:numCache>
            </c:numRef>
          </c:cat>
          <c:val>
            <c:numRef>
              <c:f>Hoja1!$B$33:$B$39</c:f>
              <c:numCache>
                <c:formatCode>General</c:formatCode>
                <c:ptCount val="7"/>
                <c:pt idx="0">
                  <c:v>839</c:v>
                </c:pt>
                <c:pt idx="1">
                  <c:v>820</c:v>
                </c:pt>
                <c:pt idx="2">
                  <c:v>802</c:v>
                </c:pt>
                <c:pt idx="3">
                  <c:v>813</c:v>
                </c:pt>
                <c:pt idx="4">
                  <c:v>826</c:v>
                </c:pt>
                <c:pt idx="5">
                  <c:v>828</c:v>
                </c:pt>
                <c:pt idx="6">
                  <c:v>852</c:v>
                </c:pt>
              </c:numCache>
            </c:numRef>
          </c:val>
          <c:smooth val="0"/>
          <c:extLst>
            <c:ext xmlns:c16="http://schemas.microsoft.com/office/drawing/2014/chart" uri="{C3380CC4-5D6E-409C-BE32-E72D297353CC}">
              <c16:uniqueId val="{00000000-FF64-43A9-849B-912B2F804C92}"/>
            </c:ext>
          </c:extLst>
        </c:ser>
        <c:ser>
          <c:idx val="1"/>
          <c:order val="1"/>
          <c:tx>
            <c:v>Tendencia</c:v>
          </c:tx>
          <c:spPr>
            <a:ln w="38100" cap="rnd">
              <a:solidFill>
                <a:srgbClr val="C00000"/>
              </a:solidFill>
              <a:round/>
            </a:ln>
            <a:effectLst/>
          </c:spPr>
          <c:marker>
            <c:symbol val="none"/>
          </c:marker>
          <c:cat>
            <c:numRef>
              <c:f>Hoja1!$A$33:$A$39</c:f>
              <c:numCache>
                <c:formatCode>General</c:formatCode>
                <c:ptCount val="7"/>
                <c:pt idx="0">
                  <c:v>2012</c:v>
                </c:pt>
                <c:pt idx="1">
                  <c:v>2013</c:v>
                </c:pt>
                <c:pt idx="2">
                  <c:v>2014</c:v>
                </c:pt>
                <c:pt idx="3">
                  <c:v>2015</c:v>
                </c:pt>
                <c:pt idx="4">
                  <c:v>2016</c:v>
                </c:pt>
                <c:pt idx="5">
                  <c:v>2017</c:v>
                </c:pt>
                <c:pt idx="6">
                  <c:v>2018</c:v>
                </c:pt>
              </c:numCache>
            </c:numRef>
          </c:cat>
          <c:val>
            <c:numRef>
              <c:f>Hoja1!$C$33:$C$39</c:f>
              <c:numCache>
                <c:formatCode>General</c:formatCode>
                <c:ptCount val="7"/>
                <c:pt idx="0">
                  <c:v>825.62410264139203</c:v>
                </c:pt>
                <c:pt idx="1">
                  <c:v>820.35411317279295</c:v>
                </c:pt>
                <c:pt idx="2">
                  <c:v>817.31343993062796</c:v>
                </c:pt>
                <c:pt idx="3">
                  <c:v>818.67238027920098</c:v>
                </c:pt>
                <c:pt idx="4">
                  <c:v>824.04899159437605</c:v>
                </c:pt>
                <c:pt idx="5">
                  <c:v>832.11593453881699</c:v>
                </c:pt>
                <c:pt idx="6">
                  <c:v>841.87103784279304</c:v>
                </c:pt>
              </c:numCache>
            </c:numRef>
          </c:val>
          <c:smooth val="0"/>
          <c:extLst>
            <c:ext xmlns:c16="http://schemas.microsoft.com/office/drawing/2014/chart" uri="{C3380CC4-5D6E-409C-BE32-E72D297353CC}">
              <c16:uniqueId val="{00000001-FF64-43A9-849B-912B2F804C92}"/>
            </c:ext>
          </c:extLst>
        </c:ser>
        <c:dLbls>
          <c:showLegendKey val="0"/>
          <c:showVal val="0"/>
          <c:showCatName val="0"/>
          <c:showSerName val="0"/>
          <c:showPercent val="0"/>
          <c:showBubbleSize val="0"/>
        </c:dLbls>
        <c:marker val="1"/>
        <c:smooth val="0"/>
        <c:axId val="519854608"/>
        <c:axId val="519855168"/>
      </c:lineChart>
      <c:catAx>
        <c:axId val="51985460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519855168"/>
        <c:crosses val="autoZero"/>
        <c:auto val="1"/>
        <c:lblAlgn val="ctr"/>
        <c:lblOffset val="100"/>
        <c:noMultiLvlLbl val="0"/>
      </c:catAx>
      <c:valAx>
        <c:axId val="519855168"/>
        <c:scaling>
          <c:orientation val="minMax"/>
          <c:min val="5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Pediatría</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519854608"/>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71D-4149-B638-93957C3194F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71D-4149-B638-93957C3194F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B71D-4149-B638-93957C3194F7}"/>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71D-4149-B638-93957C3194F7}"/>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1D-4149-B638-93957C3194F7}"/>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71D-4149-B638-93957C3194F7}"/>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1D-4149-B638-93957C3194F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B71D-4149-B638-93957C3194F7}"/>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86C7-4D5A-854B-F769722EE54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86C7-4D5A-854B-F769722EE54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86C7-4D5A-854B-F769722EE547}"/>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86C7-4D5A-854B-F769722EE547}"/>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B640-4E8F-A3C8-150713177D22}"/>
            </c:ext>
          </c:extLst>
        </c:ser>
        <c:dLbls>
          <c:showLegendKey val="0"/>
          <c:showVal val="0"/>
          <c:showCatName val="0"/>
          <c:showSerName val="0"/>
          <c:showPercent val="0"/>
          <c:showBubbleSize val="0"/>
        </c:dLbls>
        <c:gapWidth val="267"/>
        <c:overlap val="-43"/>
        <c:axId val="512744624"/>
        <c:axId val="512745184"/>
      </c:barChart>
      <c:catAx>
        <c:axId val="512744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512745184"/>
        <c:crosses val="autoZero"/>
        <c:auto val="1"/>
        <c:lblAlgn val="ctr"/>
        <c:lblOffset val="100"/>
        <c:noMultiLvlLbl val="0"/>
      </c:catAx>
      <c:valAx>
        <c:axId val="5127451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51274462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 Especialidades '!$A$29</c:f>
              <c:strCache>
                <c:ptCount val="1"/>
                <c:pt idx="0">
                  <c:v>Ingreso</c:v>
                </c:pt>
              </c:strCache>
            </c:strRef>
          </c:tx>
          <c:spPr>
            <a:ln w="28575" cap="rnd">
              <a:solidFill>
                <a:schemeClr val="accent1"/>
              </a:solidFill>
              <a:round/>
            </a:ln>
            <a:effectLst/>
          </c:spPr>
          <c:marker>
            <c:symbol val="none"/>
          </c:marker>
          <c:dLbls>
            <c:dLbl>
              <c:idx val="0"/>
              <c:layout>
                <c:manualLayout>
                  <c:x val="-2.7090692171451231E-2"/>
                  <c:y val="-3.08340524477173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82-46D1-80C5-962B0A789B52}"/>
                </c:ext>
              </c:extLst>
            </c:dLbl>
            <c:dLbl>
              <c:idx val="1"/>
              <c:layout>
                <c:manualLayout>
                  <c:x val="-8.1272076514353701E-3"/>
                  <c:y val="-3.964378171849377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82-46D1-80C5-962B0A789B52}"/>
                </c:ext>
              </c:extLst>
            </c:dLbl>
            <c:dLbl>
              <c:idx val="2"/>
              <c:layout>
                <c:manualLayout>
                  <c:x val="-5.0783468781125211E-3"/>
                  <c:y val="5.287290452697778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82-46D1-80C5-962B0A789B52}"/>
                </c:ext>
              </c:extLst>
            </c:dLbl>
            <c:dLbl>
              <c:idx val="3"/>
              <c:layout>
                <c:manualLayout>
                  <c:x val="2.7090239685463799E-3"/>
                  <c:y val="3.96550252847789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82-46D1-80C5-962B0A789B52}"/>
                </c:ext>
              </c:extLst>
            </c:dLbl>
            <c:dLbl>
              <c:idx val="4"/>
              <c:layout>
                <c:manualLayout>
                  <c:x val="-5.4180479370928552E-3"/>
                  <c:y val="8.8179322469215289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B82-46D1-80C5-962B0A789B52}"/>
                </c:ext>
              </c:extLst>
            </c:dLbl>
            <c:dLbl>
              <c:idx val="5"/>
              <c:layout>
                <c:manualLayout>
                  <c:x val="-2.7090692171451232E-3"/>
                  <c:y val="-3.964378171849377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B82-46D1-80C5-962B0A789B52}"/>
                </c:ext>
              </c:extLst>
            </c:dLbl>
            <c:dLbl>
              <c:idx val="6"/>
              <c:layout>
                <c:manualLayout>
                  <c:x val="0"/>
                  <c:y val="-3.08340524477173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B82-46D1-80C5-962B0A789B52}"/>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'!$B$28:$F$28</c:f>
              <c:numCache>
                <c:formatCode>General</c:formatCode>
                <c:ptCount val="5"/>
                <c:pt idx="0">
                  <c:v>2014</c:v>
                </c:pt>
                <c:pt idx="1">
                  <c:v>2015</c:v>
                </c:pt>
                <c:pt idx="2">
                  <c:v>2016</c:v>
                </c:pt>
                <c:pt idx="3">
                  <c:v>2017</c:v>
                </c:pt>
                <c:pt idx="4">
                  <c:v>2018</c:v>
                </c:pt>
              </c:numCache>
            </c:numRef>
          </c:cat>
          <c:val>
            <c:numRef>
              <c:f>'Gráficos Especialidades '!$B$29:$F$29</c:f>
              <c:numCache>
                <c:formatCode>#,##0</c:formatCode>
                <c:ptCount val="5"/>
                <c:pt idx="0">
                  <c:v>40</c:v>
                </c:pt>
                <c:pt idx="1">
                  <c:v>88</c:v>
                </c:pt>
                <c:pt idx="2">
                  <c:v>37</c:v>
                </c:pt>
                <c:pt idx="3">
                  <c:v>32</c:v>
                </c:pt>
                <c:pt idx="4">
                  <c:v>38</c:v>
                </c:pt>
              </c:numCache>
            </c:numRef>
          </c:val>
          <c:smooth val="0"/>
          <c:extLst>
            <c:ext xmlns:c16="http://schemas.microsoft.com/office/drawing/2014/chart" uri="{C3380CC4-5D6E-409C-BE32-E72D297353CC}">
              <c16:uniqueId val="{00000007-1B82-46D1-80C5-962B0A789B52}"/>
            </c:ext>
          </c:extLst>
        </c:ser>
        <c:ser>
          <c:idx val="1"/>
          <c:order val="1"/>
          <c:tx>
            <c:strRef>
              <c:f>'Gráficos Especialidades '!$A$30</c:f>
              <c:strCache>
                <c:ptCount val="1"/>
                <c:pt idx="0">
                  <c:v>Matrícula</c:v>
                </c:pt>
              </c:strCache>
            </c:strRef>
          </c:tx>
          <c:spPr>
            <a:ln w="28575" cap="rnd">
              <a:solidFill>
                <a:schemeClr val="accent2"/>
              </a:solidFill>
              <a:round/>
            </a:ln>
            <a:effectLst/>
          </c:spPr>
          <c:marker>
            <c:symbol val="none"/>
          </c:marker>
          <c:dLbls>
            <c:dLbl>
              <c:idx val="0"/>
              <c:layout>
                <c:manualLayout>
                  <c:x val="-2.1559366847915509E-2"/>
                  <c:y val="3.52363462540437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B82-46D1-80C5-962B0A789B52}"/>
                </c:ext>
              </c:extLst>
            </c:dLbl>
            <c:dLbl>
              <c:idx val="1"/>
              <c:layout>
                <c:manualLayout>
                  <c:x val="-3.1489388838551451E-2"/>
                  <c:y val="-4.84660197407902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B82-46D1-80C5-962B0A789B52}"/>
                </c:ext>
              </c:extLst>
            </c:dLbl>
            <c:dLbl>
              <c:idx val="2"/>
              <c:layout>
                <c:manualLayout>
                  <c:x val="-2.5957902822196385E-2"/>
                  <c:y val="4.405046271596475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B82-46D1-80C5-962B0A789B52}"/>
                </c:ext>
              </c:extLst>
            </c:dLbl>
            <c:dLbl>
              <c:idx val="3"/>
              <c:layout>
                <c:manualLayout>
                  <c:x val="-7.7873708466589964E-3"/>
                  <c:y val="4.40504627159646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B82-46D1-80C5-962B0A789B52}"/>
                </c:ext>
              </c:extLst>
            </c:dLbl>
            <c:dLbl>
              <c:idx val="4"/>
              <c:layout>
                <c:manualLayout>
                  <c:x val="2.7090692171451232E-3"/>
                  <c:y val="3.08340524477173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B82-46D1-80C5-962B0A789B52}"/>
                </c:ext>
              </c:extLst>
            </c:dLbl>
            <c:dLbl>
              <c:idx val="5"/>
              <c:layout>
                <c:manualLayout>
                  <c:x val="-2.7090692171451232E-3"/>
                  <c:y val="3.08340524477173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B82-46D1-80C5-962B0A789B52}"/>
                </c:ext>
              </c:extLst>
            </c:dLbl>
            <c:dLbl>
              <c:idx val="6"/>
              <c:layout>
                <c:manualLayout>
                  <c:x val="-1.0836276868580493E-2"/>
                  <c:y val="3.964378171849377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B82-46D1-80C5-962B0A789B52}"/>
                </c:ext>
              </c:extLst>
            </c:dLbl>
            <c:dLbl>
              <c:idx val="7"/>
              <c:layout>
                <c:manualLayout>
                  <c:x val="5.4181384342902464E-3"/>
                  <c:y val="-2.202432317694098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B82-46D1-80C5-962B0A789B52}"/>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'!$B$28:$F$28</c:f>
              <c:numCache>
                <c:formatCode>General</c:formatCode>
                <c:ptCount val="5"/>
                <c:pt idx="0">
                  <c:v>2014</c:v>
                </c:pt>
                <c:pt idx="1">
                  <c:v>2015</c:v>
                </c:pt>
                <c:pt idx="2">
                  <c:v>2016</c:v>
                </c:pt>
                <c:pt idx="3">
                  <c:v>2017</c:v>
                </c:pt>
                <c:pt idx="4">
                  <c:v>2018</c:v>
                </c:pt>
              </c:numCache>
            </c:numRef>
          </c:cat>
          <c:val>
            <c:numRef>
              <c:f>'Gráficos Especialidades '!$B$30:$F$30</c:f>
              <c:numCache>
                <c:formatCode>#,##0</c:formatCode>
                <c:ptCount val="5"/>
                <c:pt idx="0">
                  <c:v>143</c:v>
                </c:pt>
                <c:pt idx="1">
                  <c:v>218</c:v>
                </c:pt>
                <c:pt idx="2">
                  <c:v>150</c:v>
                </c:pt>
                <c:pt idx="3">
                  <c:v>139</c:v>
                </c:pt>
                <c:pt idx="4">
                  <c:v>124</c:v>
                </c:pt>
              </c:numCache>
            </c:numRef>
          </c:val>
          <c:smooth val="0"/>
          <c:extLst>
            <c:ext xmlns:c16="http://schemas.microsoft.com/office/drawing/2014/chart" uri="{C3380CC4-5D6E-409C-BE32-E72D297353CC}">
              <c16:uniqueId val="{00000010-1B82-46D1-80C5-962B0A789B52}"/>
            </c:ext>
          </c:extLst>
        </c:ser>
        <c:ser>
          <c:idx val="2"/>
          <c:order val="2"/>
          <c:tx>
            <c:strRef>
              <c:f>'Gráficos Especialidades '!$A$31</c:f>
              <c:strCache>
                <c:ptCount val="1"/>
                <c:pt idx="0">
                  <c:v>Egreso</c:v>
                </c:pt>
              </c:strCache>
            </c:strRef>
          </c:tx>
          <c:spPr>
            <a:ln w="28575" cap="rnd">
              <a:solidFill>
                <a:schemeClr val="accent3"/>
              </a:solidFill>
              <a:round/>
            </a:ln>
            <a:effectLst/>
          </c:spPr>
          <c:marker>
            <c:symbol val="none"/>
          </c:marker>
          <c:dLbls>
            <c:dLbl>
              <c:idx val="0"/>
              <c:layout>
                <c:manualLayout>
                  <c:x val="-8.4669773575549861E-3"/>
                  <c:y val="3.08454183869497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B82-46D1-80C5-962B0A789B52}"/>
                </c:ext>
              </c:extLst>
            </c:dLbl>
            <c:dLbl>
              <c:idx val="1"/>
              <c:layout>
                <c:manualLayout>
                  <c:x val="-1.072306658079443E-2"/>
                  <c:y val="3.96539846161424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B82-46D1-80C5-962B0A789B52}"/>
                </c:ext>
              </c:extLst>
            </c:dLbl>
            <c:dLbl>
              <c:idx val="2"/>
              <c:layout>
                <c:manualLayout>
                  <c:x val="-1.309218509742501E-2"/>
                  <c:y val="-8.36992439889245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B82-46D1-80C5-962B0A789B52}"/>
                </c:ext>
              </c:extLst>
            </c:dLbl>
            <c:dLbl>
              <c:idx val="3"/>
              <c:layout>
                <c:manualLayout>
                  <c:x val="-2.438162295430606E-2"/>
                  <c:y val="-4.40486463538819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B82-46D1-80C5-962B0A789B52}"/>
                </c:ext>
              </c:extLst>
            </c:dLbl>
            <c:dLbl>
              <c:idx val="4"/>
              <c:layout>
                <c:manualLayout>
                  <c:x val="-2.1672553737160986E-2"/>
                  <c:y val="-4.84535109892701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B82-46D1-80C5-962B0A789B52}"/>
                </c:ext>
              </c:extLst>
            </c:dLbl>
            <c:dLbl>
              <c:idx val="5"/>
              <c:layout>
                <c:manualLayout>
                  <c:x val="0"/>
                  <c:y val="8.809729270776353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B82-46D1-80C5-962B0A789B52}"/>
                </c:ext>
              </c:extLst>
            </c:dLbl>
            <c:dLbl>
              <c:idx val="6"/>
              <c:layout>
                <c:manualLayout>
                  <c:x val="-2.7090692171451232E-3"/>
                  <c:y val="-3.08340524477173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1B82-46D1-80C5-962B0A789B52}"/>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'Gráficos Especialidades '!$B$28:$F$28</c:f>
              <c:numCache>
                <c:formatCode>General</c:formatCode>
                <c:ptCount val="5"/>
                <c:pt idx="0">
                  <c:v>2014</c:v>
                </c:pt>
                <c:pt idx="1">
                  <c:v>2015</c:v>
                </c:pt>
                <c:pt idx="2">
                  <c:v>2016</c:v>
                </c:pt>
                <c:pt idx="3">
                  <c:v>2017</c:v>
                </c:pt>
                <c:pt idx="4">
                  <c:v>2018</c:v>
                </c:pt>
              </c:numCache>
            </c:numRef>
          </c:cat>
          <c:val>
            <c:numRef>
              <c:f>'Gráficos Especialidades '!$B$31:$F$31</c:f>
              <c:numCache>
                <c:formatCode>#,##0</c:formatCode>
                <c:ptCount val="5"/>
                <c:pt idx="0" formatCode="General">
                  <c:v>35</c:v>
                </c:pt>
                <c:pt idx="1">
                  <c:v>49</c:v>
                </c:pt>
                <c:pt idx="2">
                  <c:v>43</c:v>
                </c:pt>
                <c:pt idx="3">
                  <c:v>53</c:v>
                </c:pt>
                <c:pt idx="4">
                  <c:v>50</c:v>
                </c:pt>
              </c:numCache>
            </c:numRef>
          </c:val>
          <c:smooth val="0"/>
          <c:extLst>
            <c:ext xmlns:c16="http://schemas.microsoft.com/office/drawing/2014/chart" uri="{C3380CC4-5D6E-409C-BE32-E72D297353CC}">
              <c16:uniqueId val="{00000018-1B82-46D1-80C5-962B0A789B52}"/>
            </c:ext>
          </c:extLst>
        </c:ser>
        <c:dLbls>
          <c:showLegendKey val="0"/>
          <c:showVal val="0"/>
          <c:showCatName val="0"/>
          <c:showSerName val="0"/>
          <c:showPercent val="0"/>
          <c:showBubbleSize val="0"/>
        </c:dLbls>
        <c:smooth val="0"/>
        <c:axId val="798384720"/>
        <c:axId val="798385280"/>
      </c:lineChart>
      <c:catAx>
        <c:axId val="798384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85280"/>
        <c:crosses val="autoZero"/>
        <c:auto val="1"/>
        <c:lblAlgn val="ctr"/>
        <c:lblOffset val="100"/>
        <c:noMultiLvlLbl val="0"/>
      </c:catAx>
      <c:valAx>
        <c:axId val="7983852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84720"/>
        <c:crosses val="autoZero"/>
        <c:crossBetween val="between"/>
      </c:valAx>
      <c:spPr>
        <a:noFill/>
        <a:ln w="25400">
          <a:noFill/>
        </a:ln>
      </c:spPr>
    </c:plotArea>
    <c:legend>
      <c:legendPos val="r"/>
      <c:overlay val="0"/>
      <c:spPr>
        <a:noFill/>
        <a:ln w="25400">
          <a:noFill/>
        </a:ln>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MX"/>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 2'!$A$47</c:f>
              <c:strCache>
                <c:ptCount val="1"/>
                <c:pt idx="0">
                  <c:v>La Salle</c:v>
                </c:pt>
              </c:strCache>
            </c:strRef>
          </c:tx>
          <c:spPr>
            <a:ln w="28575" cap="rnd">
              <a:solidFill>
                <a:schemeClr val="accent1"/>
              </a:solidFill>
              <a:round/>
            </a:ln>
            <a:effectLst/>
          </c:spPr>
          <c:marker>
            <c:symbol val="none"/>
          </c:marker>
          <c:dLbls>
            <c:dLbl>
              <c:idx val="0"/>
              <c:layout>
                <c:manualLayout>
                  <c:x val="-6.8728522336769758E-3"/>
                  <c:y val="6.30914826498422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F6A-46B1-9B95-B8A847C86680}"/>
                </c:ext>
              </c:extLst>
            </c:dLbl>
            <c:dLbl>
              <c:idx val="1"/>
              <c:layout>
                <c:manualLayout>
                  <c:x val="3.2073310423825885E-2"/>
                  <c:y val="1.26182965299684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6A-46B1-9B95-B8A847C86680}"/>
                </c:ext>
              </c:extLst>
            </c:dLbl>
            <c:dLbl>
              <c:idx val="2"/>
              <c:layout>
                <c:manualLayout>
                  <c:x val="-2.9782359679266894E-2"/>
                  <c:y val="4.62670872765509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F6A-46B1-9B95-B8A847C86680}"/>
                </c:ext>
              </c:extLst>
            </c:dLbl>
            <c:dLbl>
              <c:idx val="3"/>
              <c:layout>
                <c:manualLayout>
                  <c:x val="2.290950744558983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F6A-46B1-9B95-B8A847C86680}"/>
                </c:ext>
              </c:extLst>
            </c:dLbl>
            <c:dLbl>
              <c:idx val="4"/>
              <c:layout>
                <c:manualLayout>
                  <c:x val="8.4000556918894792E-17"/>
                  <c:y val="6.30914826498422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F6A-46B1-9B95-B8A847C8668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2'!$B$46:$F$46</c:f>
              <c:numCache>
                <c:formatCode>General</c:formatCode>
                <c:ptCount val="5"/>
                <c:pt idx="0">
                  <c:v>2014</c:v>
                </c:pt>
                <c:pt idx="1">
                  <c:v>2015</c:v>
                </c:pt>
                <c:pt idx="2">
                  <c:v>2016</c:v>
                </c:pt>
                <c:pt idx="3">
                  <c:v>2017</c:v>
                </c:pt>
                <c:pt idx="4">
                  <c:v>2018</c:v>
                </c:pt>
              </c:numCache>
            </c:numRef>
          </c:cat>
          <c:val>
            <c:numRef>
              <c:f>'Gráficos 2'!$B$47:$F$47</c:f>
              <c:numCache>
                <c:formatCode>#,##0</c:formatCode>
                <c:ptCount val="5"/>
                <c:pt idx="0">
                  <c:v>12</c:v>
                </c:pt>
                <c:pt idx="1">
                  <c:v>5</c:v>
                </c:pt>
                <c:pt idx="2">
                  <c:v>9</c:v>
                </c:pt>
                <c:pt idx="3">
                  <c:v>4</c:v>
                </c:pt>
                <c:pt idx="4">
                  <c:v>12</c:v>
                </c:pt>
              </c:numCache>
            </c:numRef>
          </c:val>
          <c:smooth val="0"/>
          <c:extLst>
            <c:ext xmlns:c16="http://schemas.microsoft.com/office/drawing/2014/chart" uri="{C3380CC4-5D6E-409C-BE32-E72D297353CC}">
              <c16:uniqueId val="{00000005-5F6A-46B1-9B95-B8A847C86680}"/>
            </c:ext>
          </c:extLst>
        </c:ser>
        <c:ser>
          <c:idx val="1"/>
          <c:order val="1"/>
          <c:tx>
            <c:strRef>
              <c:f>'Gráficos 2'!$A$48</c:f>
              <c:strCache>
                <c:ptCount val="1"/>
                <c:pt idx="0">
                  <c:v>Tec de Monterrey </c:v>
                </c:pt>
              </c:strCache>
            </c:strRef>
          </c:tx>
          <c:spPr>
            <a:ln w="28575" cap="rnd">
              <a:solidFill>
                <a:schemeClr val="accent2"/>
              </a:solidFill>
              <a:round/>
            </a:ln>
            <a:effectLst/>
          </c:spPr>
          <c:marker>
            <c:symbol val="none"/>
          </c:marker>
          <c:dLbls>
            <c:dLbl>
              <c:idx val="0"/>
              <c:layout>
                <c:manualLayout>
                  <c:x val="-9.1638029782359683E-3"/>
                  <c:y val="-3.78548895899055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F6A-46B1-9B95-B8A847C86680}"/>
                </c:ext>
              </c:extLst>
            </c:dLbl>
            <c:dLbl>
              <c:idx val="1"/>
              <c:layout>
                <c:manualLayout>
                  <c:x val="-2.2909507445589921E-3"/>
                  <c:y val="-4.20609884332283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F6A-46B1-9B95-B8A847C86680}"/>
                </c:ext>
              </c:extLst>
            </c:dLbl>
            <c:dLbl>
              <c:idx val="2"/>
              <c:layout>
                <c:manualLayout>
                  <c:x val="-8.4000556918894792E-17"/>
                  <c:y val="-2.52365930599369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F6A-46B1-9B95-B8A847C86680}"/>
                </c:ext>
              </c:extLst>
            </c:dLbl>
            <c:dLbl>
              <c:idx val="3"/>
              <c:layout>
                <c:manualLayout>
                  <c:x val="-2.2909507445589921E-3"/>
                  <c:y val="-3.36487907465825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F6A-46B1-9B95-B8A847C8668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2'!$B$46:$F$46</c:f>
              <c:numCache>
                <c:formatCode>General</c:formatCode>
                <c:ptCount val="5"/>
                <c:pt idx="0">
                  <c:v>2014</c:v>
                </c:pt>
                <c:pt idx="1">
                  <c:v>2015</c:v>
                </c:pt>
                <c:pt idx="2">
                  <c:v>2016</c:v>
                </c:pt>
                <c:pt idx="3">
                  <c:v>2017</c:v>
                </c:pt>
                <c:pt idx="4">
                  <c:v>2018</c:v>
                </c:pt>
              </c:numCache>
            </c:numRef>
          </c:cat>
          <c:val>
            <c:numRef>
              <c:f>'Gráficos 2'!$B$48:$F$48</c:f>
              <c:numCache>
                <c:formatCode>#,##0</c:formatCode>
                <c:ptCount val="5"/>
                <c:pt idx="0">
                  <c:v>11</c:v>
                </c:pt>
                <c:pt idx="1">
                  <c:v>11</c:v>
                </c:pt>
                <c:pt idx="2">
                  <c:v>11</c:v>
                </c:pt>
                <c:pt idx="3">
                  <c:v>10</c:v>
                </c:pt>
                <c:pt idx="4">
                  <c:v>11</c:v>
                </c:pt>
              </c:numCache>
            </c:numRef>
          </c:val>
          <c:smooth val="0"/>
          <c:extLst>
            <c:ext xmlns:c16="http://schemas.microsoft.com/office/drawing/2014/chart" uri="{C3380CC4-5D6E-409C-BE32-E72D297353CC}">
              <c16:uniqueId val="{0000000A-5F6A-46B1-9B95-B8A847C86680}"/>
            </c:ext>
          </c:extLst>
        </c:ser>
        <c:ser>
          <c:idx val="2"/>
          <c:order val="2"/>
          <c:tx>
            <c:strRef>
              <c:f>'Gráficos 2'!$A$49</c:f>
              <c:strCache>
                <c:ptCount val="1"/>
                <c:pt idx="0">
                  <c:v>UAG </c:v>
                </c:pt>
              </c:strCache>
            </c:strRef>
          </c:tx>
          <c:spPr>
            <a:ln w="28575" cap="rnd">
              <a:solidFill>
                <a:schemeClr val="accent3"/>
              </a:solidFill>
              <a:round/>
            </a:ln>
            <a:effectLst/>
          </c:spPr>
          <c:marker>
            <c:symbol val="none"/>
          </c:marker>
          <c:dLbls>
            <c:dLbl>
              <c:idx val="0"/>
              <c:layout>
                <c:manualLayout>
                  <c:x val="-4.352806414662086E-2"/>
                  <c:y val="-1.5422184267128318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F6A-46B1-9B95-B8A847C86680}"/>
                </c:ext>
              </c:extLst>
            </c:dLbl>
            <c:dLbl>
              <c:idx val="1"/>
              <c:layout>
                <c:manualLayout>
                  <c:x val="1.374570446735391E-2"/>
                  <c:y val="1.68243953732912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F6A-46B1-9B95-B8A847C86680}"/>
                </c:ext>
              </c:extLst>
            </c:dLbl>
            <c:dLbl>
              <c:idx val="2"/>
              <c:layout>
                <c:manualLayout>
                  <c:x val="1.6036655211912859E-2"/>
                  <c:y val="2.52365930599369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F6A-46B1-9B95-B8A847C86680}"/>
                </c:ext>
              </c:extLst>
            </c:dLbl>
            <c:dLbl>
              <c:idx val="3"/>
              <c:layout>
                <c:manualLayout>
                  <c:x val="1.3745704467353952E-2"/>
                  <c:y val="3.36487907465825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F6A-46B1-9B95-B8A847C8668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2'!$B$46:$F$46</c:f>
              <c:numCache>
                <c:formatCode>General</c:formatCode>
                <c:ptCount val="5"/>
                <c:pt idx="0">
                  <c:v>2014</c:v>
                </c:pt>
                <c:pt idx="1">
                  <c:v>2015</c:v>
                </c:pt>
                <c:pt idx="2">
                  <c:v>2016</c:v>
                </c:pt>
                <c:pt idx="3">
                  <c:v>2017</c:v>
                </c:pt>
                <c:pt idx="4">
                  <c:v>2018</c:v>
                </c:pt>
              </c:numCache>
            </c:numRef>
          </c:cat>
          <c:val>
            <c:numRef>
              <c:f>'Gráficos 2'!$B$49:$F$49</c:f>
              <c:numCache>
                <c:formatCode>#,##0</c:formatCode>
                <c:ptCount val="5"/>
                <c:pt idx="0">
                  <c:v>0</c:v>
                </c:pt>
                <c:pt idx="1">
                  <c:v>0</c:v>
                </c:pt>
                <c:pt idx="2">
                  <c:v>1</c:v>
                </c:pt>
                <c:pt idx="3">
                  <c:v>1</c:v>
                </c:pt>
                <c:pt idx="4">
                  <c:v>0</c:v>
                </c:pt>
              </c:numCache>
            </c:numRef>
          </c:val>
          <c:smooth val="0"/>
          <c:extLst>
            <c:ext xmlns:c16="http://schemas.microsoft.com/office/drawing/2014/chart" uri="{C3380CC4-5D6E-409C-BE32-E72D297353CC}">
              <c16:uniqueId val="{0000000F-5F6A-46B1-9B95-B8A847C86680}"/>
            </c:ext>
          </c:extLst>
        </c:ser>
        <c:ser>
          <c:idx val="3"/>
          <c:order val="3"/>
          <c:tx>
            <c:strRef>
              <c:f>'Gráficos 2'!$A$50</c:f>
              <c:strCache>
                <c:ptCount val="1"/>
                <c:pt idx="0">
                  <c:v>U Monterrey </c:v>
                </c:pt>
              </c:strCache>
            </c:strRef>
          </c:tx>
          <c:spPr>
            <a:ln w="28575" cap="rnd">
              <a:solidFill>
                <a:schemeClr val="accent4"/>
              </a:solidFill>
              <a:round/>
            </a:ln>
            <a:effectLst/>
          </c:spPr>
          <c:marker>
            <c:symbol val="none"/>
          </c:marker>
          <c:dLbls>
            <c:dLbl>
              <c:idx val="0"/>
              <c:layout>
                <c:manualLayout>
                  <c:x val="-4.8109965635738841E-2"/>
                  <c:y val="-6.72975814931650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5F6A-46B1-9B95-B8A847C86680}"/>
                </c:ext>
              </c:extLst>
            </c:dLbl>
            <c:dLbl>
              <c:idx val="2"/>
              <c:layout>
                <c:manualLayout>
                  <c:x val="-6.8728522336770599E-3"/>
                  <c:y val="-5.04731861198738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5F6A-46B1-9B95-B8A847C86680}"/>
                </c:ext>
              </c:extLst>
            </c:dLbl>
            <c:dLbl>
              <c:idx val="3"/>
              <c:layout>
                <c:manualLayout>
                  <c:x val="-6.8728522336769758E-3"/>
                  <c:y val="-5.88853838065195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5F6A-46B1-9B95-B8A847C86680}"/>
                </c:ext>
              </c:extLst>
            </c:dLbl>
            <c:dLbl>
              <c:idx val="4"/>
              <c:layout>
                <c:manualLayout>
                  <c:x val="-1.8327605956471937E-2"/>
                  <c:y val="-6.30914826498422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5F6A-46B1-9B95-B8A847C8668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2'!$B$46:$F$46</c:f>
              <c:numCache>
                <c:formatCode>General</c:formatCode>
                <c:ptCount val="5"/>
                <c:pt idx="0">
                  <c:v>2014</c:v>
                </c:pt>
                <c:pt idx="1">
                  <c:v>2015</c:v>
                </c:pt>
                <c:pt idx="2">
                  <c:v>2016</c:v>
                </c:pt>
                <c:pt idx="3">
                  <c:v>2017</c:v>
                </c:pt>
                <c:pt idx="4">
                  <c:v>2018</c:v>
                </c:pt>
              </c:numCache>
            </c:numRef>
          </c:cat>
          <c:val>
            <c:numRef>
              <c:f>'Gráficos 2'!$B$50:$F$50</c:f>
              <c:numCache>
                <c:formatCode>#,##0</c:formatCode>
                <c:ptCount val="5"/>
                <c:pt idx="0">
                  <c:v>17</c:v>
                </c:pt>
                <c:pt idx="1">
                  <c:v>72</c:v>
                </c:pt>
                <c:pt idx="2">
                  <c:v>16</c:v>
                </c:pt>
                <c:pt idx="3">
                  <c:v>17</c:v>
                </c:pt>
                <c:pt idx="4">
                  <c:v>15</c:v>
                </c:pt>
              </c:numCache>
            </c:numRef>
          </c:val>
          <c:smooth val="0"/>
          <c:extLst>
            <c:ext xmlns:c16="http://schemas.microsoft.com/office/drawing/2014/chart" uri="{C3380CC4-5D6E-409C-BE32-E72D297353CC}">
              <c16:uniqueId val="{00000014-5F6A-46B1-9B95-B8A847C86680}"/>
            </c:ext>
          </c:extLst>
        </c:ser>
        <c:dLbls>
          <c:showLegendKey val="0"/>
          <c:showVal val="1"/>
          <c:showCatName val="0"/>
          <c:showSerName val="0"/>
          <c:showPercent val="0"/>
          <c:showBubbleSize val="0"/>
        </c:dLbls>
        <c:smooth val="0"/>
        <c:axId val="798389200"/>
        <c:axId val="798389760"/>
      </c:lineChart>
      <c:catAx>
        <c:axId val="798389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89760"/>
        <c:crosses val="autoZero"/>
        <c:auto val="1"/>
        <c:lblAlgn val="ctr"/>
        <c:lblOffset val="100"/>
        <c:noMultiLvlLbl val="0"/>
      </c:catAx>
      <c:valAx>
        <c:axId val="798389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8920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 2'!$A$58</c:f>
              <c:strCache>
                <c:ptCount val="1"/>
                <c:pt idx="0">
                  <c:v>La Salle</c:v>
                </c:pt>
              </c:strCache>
            </c:strRef>
          </c:tx>
          <c:spPr>
            <a:ln w="28575" cap="rnd">
              <a:solidFill>
                <a:schemeClr val="accent1"/>
              </a:solidFill>
              <a:round/>
            </a:ln>
            <a:effectLst/>
          </c:spPr>
          <c:marker>
            <c:symbol val="none"/>
          </c:marker>
          <c:dLbls>
            <c:dLbl>
              <c:idx val="0"/>
              <c:layout>
                <c:manualLayout>
                  <c:x val="0"/>
                  <c:y val="2.97239915074309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CFB-4509-B679-34D67ED87664}"/>
                </c:ext>
              </c:extLst>
            </c:dLbl>
            <c:dLbl>
              <c:idx val="1"/>
              <c:layout>
                <c:manualLayout>
                  <c:x val="0"/>
                  <c:y val="3.39702760084924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CFB-4509-B679-34D67ED87664}"/>
                </c:ext>
              </c:extLst>
            </c:dLbl>
            <c:dLbl>
              <c:idx val="2"/>
              <c:layout>
                <c:manualLayout>
                  <c:x val="6.9324090121317154E-3"/>
                  <c:y val="2.97239915074309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CFB-4509-B679-34D67ED87664}"/>
                </c:ext>
              </c:extLst>
            </c:dLbl>
            <c:dLbl>
              <c:idx val="3"/>
              <c:layout>
                <c:manualLayout>
                  <c:x val="0"/>
                  <c:y val="2.54777070063694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CFB-4509-B679-34D67ED87664}"/>
                </c:ext>
              </c:extLst>
            </c:dLbl>
            <c:dLbl>
              <c:idx val="4"/>
              <c:layout>
                <c:manualLayout>
                  <c:x val="0"/>
                  <c:y val="3.39702760084925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CFB-4509-B679-34D67ED8766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2'!$B$57:$F$57</c:f>
              <c:numCache>
                <c:formatCode>General</c:formatCode>
                <c:ptCount val="5"/>
                <c:pt idx="0">
                  <c:v>2014</c:v>
                </c:pt>
                <c:pt idx="1">
                  <c:v>2015</c:v>
                </c:pt>
                <c:pt idx="2">
                  <c:v>2016</c:v>
                </c:pt>
                <c:pt idx="3">
                  <c:v>2017</c:v>
                </c:pt>
                <c:pt idx="4">
                  <c:v>2018</c:v>
                </c:pt>
              </c:numCache>
            </c:numRef>
          </c:cat>
          <c:val>
            <c:numRef>
              <c:f>'Gráficos 2'!$B$58:$F$58</c:f>
              <c:numCache>
                <c:formatCode>#,##0</c:formatCode>
                <c:ptCount val="5"/>
                <c:pt idx="0">
                  <c:v>34</c:v>
                </c:pt>
                <c:pt idx="1">
                  <c:v>37</c:v>
                </c:pt>
                <c:pt idx="2">
                  <c:v>34</c:v>
                </c:pt>
                <c:pt idx="3">
                  <c:v>36</c:v>
                </c:pt>
                <c:pt idx="4">
                  <c:v>36</c:v>
                </c:pt>
              </c:numCache>
            </c:numRef>
          </c:val>
          <c:smooth val="0"/>
          <c:extLst>
            <c:ext xmlns:c16="http://schemas.microsoft.com/office/drawing/2014/chart" uri="{C3380CC4-5D6E-409C-BE32-E72D297353CC}">
              <c16:uniqueId val="{00000005-3CFB-4509-B679-34D67ED87664}"/>
            </c:ext>
          </c:extLst>
        </c:ser>
        <c:ser>
          <c:idx val="1"/>
          <c:order val="1"/>
          <c:tx>
            <c:strRef>
              <c:f>'Gráficos 2'!$A$59</c:f>
              <c:strCache>
                <c:ptCount val="1"/>
                <c:pt idx="0">
                  <c:v>Tec de Monterrey </c:v>
                </c:pt>
              </c:strCache>
            </c:strRef>
          </c:tx>
          <c:spPr>
            <a:ln w="28575" cap="rnd">
              <a:solidFill>
                <a:schemeClr val="accent2"/>
              </a:solidFill>
              <a:round/>
            </a:ln>
            <a:effectLst/>
          </c:spPr>
          <c:marker>
            <c:symbol val="none"/>
          </c:marker>
          <c:dLbls>
            <c:dLbl>
              <c:idx val="0"/>
              <c:layout>
                <c:manualLayout>
                  <c:x val="2.3108030040439051E-3"/>
                  <c:y val="-3.82165605095542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CFB-4509-B679-34D67ED87664}"/>
                </c:ext>
              </c:extLst>
            </c:dLbl>
            <c:dLbl>
              <c:idx val="1"/>
              <c:layout>
                <c:manualLayout>
                  <c:x val="0"/>
                  <c:y val="-3.82165605095542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CFB-4509-B679-34D67ED87664}"/>
                </c:ext>
              </c:extLst>
            </c:dLbl>
            <c:dLbl>
              <c:idx val="2"/>
              <c:layout>
                <c:manualLayout>
                  <c:x val="-2.3108030040439051E-3"/>
                  <c:y val="-3.82165605095542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CFB-4509-B679-34D67ED87664}"/>
                </c:ext>
              </c:extLst>
            </c:dLbl>
            <c:dLbl>
              <c:idx val="3"/>
              <c:layout>
                <c:manualLayout>
                  <c:x val="0"/>
                  <c:y val="-2.54777070063695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CFB-4509-B679-34D67ED8766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2'!$B$57:$F$57</c:f>
              <c:numCache>
                <c:formatCode>General</c:formatCode>
                <c:ptCount val="5"/>
                <c:pt idx="0">
                  <c:v>2014</c:v>
                </c:pt>
                <c:pt idx="1">
                  <c:v>2015</c:v>
                </c:pt>
                <c:pt idx="2">
                  <c:v>2016</c:v>
                </c:pt>
                <c:pt idx="3">
                  <c:v>2017</c:v>
                </c:pt>
                <c:pt idx="4">
                  <c:v>2018</c:v>
                </c:pt>
              </c:numCache>
            </c:numRef>
          </c:cat>
          <c:val>
            <c:numRef>
              <c:f>'Gráficos 2'!$B$59:$F$59</c:f>
              <c:numCache>
                <c:formatCode>#,##0</c:formatCode>
                <c:ptCount val="5"/>
                <c:pt idx="0">
                  <c:v>43</c:v>
                </c:pt>
                <c:pt idx="1">
                  <c:v>43</c:v>
                </c:pt>
                <c:pt idx="2">
                  <c:v>43</c:v>
                </c:pt>
                <c:pt idx="3">
                  <c:v>41</c:v>
                </c:pt>
                <c:pt idx="4">
                  <c:v>40</c:v>
                </c:pt>
              </c:numCache>
            </c:numRef>
          </c:val>
          <c:smooth val="0"/>
          <c:extLst>
            <c:ext xmlns:c16="http://schemas.microsoft.com/office/drawing/2014/chart" uri="{C3380CC4-5D6E-409C-BE32-E72D297353CC}">
              <c16:uniqueId val="{0000000A-3CFB-4509-B679-34D67ED87664}"/>
            </c:ext>
          </c:extLst>
        </c:ser>
        <c:ser>
          <c:idx val="2"/>
          <c:order val="2"/>
          <c:tx>
            <c:strRef>
              <c:f>'Gráficos 2'!$A$60</c:f>
              <c:strCache>
                <c:ptCount val="1"/>
                <c:pt idx="0">
                  <c:v>UAG </c:v>
                </c:pt>
              </c:strCache>
            </c:strRef>
          </c:tx>
          <c:spPr>
            <a:ln w="28575" cap="rnd">
              <a:solidFill>
                <a:schemeClr val="accent3"/>
              </a:solidFill>
              <a:round/>
            </a:ln>
            <a:effectLst/>
          </c:spPr>
          <c:marker>
            <c:symbol val="none"/>
          </c:marker>
          <c:dLbls>
            <c:dLbl>
              <c:idx val="0"/>
              <c:layout>
                <c:manualLayout>
                  <c:x val="0"/>
                  <c:y val="-2.54777070063694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CFB-4509-B679-34D67ED87664}"/>
                </c:ext>
              </c:extLst>
            </c:dLbl>
            <c:dLbl>
              <c:idx val="1"/>
              <c:layout>
                <c:manualLayout>
                  <c:x val="0"/>
                  <c:y val="-2.54777070063694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CFB-4509-B679-34D67ED87664}"/>
                </c:ext>
              </c:extLst>
            </c:dLbl>
            <c:dLbl>
              <c:idx val="2"/>
              <c:layout>
                <c:manualLayout>
                  <c:x val="-2.3108030040439051E-3"/>
                  <c:y val="-3.39702760084927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CFB-4509-B679-34D67ED87664}"/>
                </c:ext>
              </c:extLst>
            </c:dLbl>
            <c:dLbl>
              <c:idx val="3"/>
              <c:layout>
                <c:manualLayout>
                  <c:x val="4.6216060080878103E-3"/>
                  <c:y val="-3.39702760084927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CFB-4509-B679-34D67ED8766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2'!$B$57:$F$57</c:f>
              <c:numCache>
                <c:formatCode>General</c:formatCode>
                <c:ptCount val="5"/>
                <c:pt idx="0">
                  <c:v>2014</c:v>
                </c:pt>
                <c:pt idx="1">
                  <c:v>2015</c:v>
                </c:pt>
                <c:pt idx="2">
                  <c:v>2016</c:v>
                </c:pt>
                <c:pt idx="3">
                  <c:v>2017</c:v>
                </c:pt>
                <c:pt idx="4">
                  <c:v>2018</c:v>
                </c:pt>
              </c:numCache>
            </c:numRef>
          </c:cat>
          <c:val>
            <c:numRef>
              <c:f>'Gráficos 2'!$B$60:$F$60</c:f>
              <c:numCache>
                <c:formatCode>#,##0</c:formatCode>
                <c:ptCount val="5"/>
                <c:pt idx="0">
                  <c:v>0</c:v>
                </c:pt>
                <c:pt idx="1">
                  <c:v>0</c:v>
                </c:pt>
                <c:pt idx="2">
                  <c:v>2</c:v>
                </c:pt>
                <c:pt idx="3">
                  <c:v>3</c:v>
                </c:pt>
                <c:pt idx="4">
                  <c:v>2</c:v>
                </c:pt>
              </c:numCache>
            </c:numRef>
          </c:val>
          <c:smooth val="0"/>
          <c:extLst>
            <c:ext xmlns:c16="http://schemas.microsoft.com/office/drawing/2014/chart" uri="{C3380CC4-5D6E-409C-BE32-E72D297353CC}">
              <c16:uniqueId val="{0000000F-3CFB-4509-B679-34D67ED87664}"/>
            </c:ext>
          </c:extLst>
        </c:ser>
        <c:ser>
          <c:idx val="3"/>
          <c:order val="3"/>
          <c:tx>
            <c:strRef>
              <c:f>'Gráficos 2'!$A$61</c:f>
              <c:strCache>
                <c:ptCount val="1"/>
                <c:pt idx="0">
                  <c:v>U Monterrey </c:v>
                </c:pt>
              </c:strCache>
            </c:strRef>
          </c:tx>
          <c:spPr>
            <a:ln w="28575" cap="rnd">
              <a:solidFill>
                <a:schemeClr val="accent4"/>
              </a:solidFill>
              <a:round/>
            </a:ln>
            <a:effectLst/>
          </c:spPr>
          <c:marker>
            <c:symbol val="none"/>
          </c:marker>
          <c:dLbls>
            <c:dLbl>
              <c:idx val="2"/>
              <c:layout>
                <c:manualLayout>
                  <c:x val="-4.6216060080878103E-3"/>
                  <c:y val="-2.97239915074309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3CFB-4509-B679-34D67ED87664}"/>
                </c:ext>
              </c:extLst>
            </c:dLbl>
            <c:dLbl>
              <c:idx val="3"/>
              <c:layout>
                <c:manualLayout>
                  <c:x val="6.9324090121317154E-3"/>
                  <c:y val="-3.39702760084926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3CFB-4509-B679-34D67ED87664}"/>
                </c:ext>
              </c:extLst>
            </c:dLbl>
            <c:dLbl>
              <c:idx val="4"/>
              <c:layout>
                <c:manualLayout>
                  <c:x val="-6.9324090121318004E-3"/>
                  <c:y val="-2.54777070063695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3CFB-4509-B679-34D67ED8766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2'!$B$57:$F$57</c:f>
              <c:numCache>
                <c:formatCode>General</c:formatCode>
                <c:ptCount val="5"/>
                <c:pt idx="0">
                  <c:v>2014</c:v>
                </c:pt>
                <c:pt idx="1">
                  <c:v>2015</c:v>
                </c:pt>
                <c:pt idx="2">
                  <c:v>2016</c:v>
                </c:pt>
                <c:pt idx="3">
                  <c:v>2017</c:v>
                </c:pt>
                <c:pt idx="4">
                  <c:v>2018</c:v>
                </c:pt>
              </c:numCache>
            </c:numRef>
          </c:cat>
          <c:val>
            <c:numRef>
              <c:f>'Gráficos 2'!$B$61:$F$61</c:f>
              <c:numCache>
                <c:formatCode>#,##0</c:formatCode>
                <c:ptCount val="5"/>
                <c:pt idx="0">
                  <c:v>66</c:v>
                </c:pt>
                <c:pt idx="1">
                  <c:v>138</c:v>
                </c:pt>
                <c:pt idx="2">
                  <c:v>71</c:v>
                </c:pt>
                <c:pt idx="3">
                  <c:v>59</c:v>
                </c:pt>
                <c:pt idx="4">
                  <c:v>46</c:v>
                </c:pt>
              </c:numCache>
            </c:numRef>
          </c:val>
          <c:smooth val="0"/>
          <c:extLst>
            <c:ext xmlns:c16="http://schemas.microsoft.com/office/drawing/2014/chart" uri="{C3380CC4-5D6E-409C-BE32-E72D297353CC}">
              <c16:uniqueId val="{00000013-3CFB-4509-B679-34D67ED87664}"/>
            </c:ext>
          </c:extLst>
        </c:ser>
        <c:dLbls>
          <c:showLegendKey val="0"/>
          <c:showVal val="1"/>
          <c:showCatName val="0"/>
          <c:showSerName val="0"/>
          <c:showPercent val="0"/>
          <c:showBubbleSize val="0"/>
        </c:dLbls>
        <c:smooth val="0"/>
        <c:axId val="798393680"/>
        <c:axId val="798394240"/>
      </c:lineChart>
      <c:catAx>
        <c:axId val="798393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94240"/>
        <c:crosses val="autoZero"/>
        <c:auto val="1"/>
        <c:lblAlgn val="ctr"/>
        <c:lblOffset val="100"/>
        <c:noMultiLvlLbl val="0"/>
      </c:catAx>
      <c:valAx>
        <c:axId val="7983942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9368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 2'!$A$69</c:f>
              <c:strCache>
                <c:ptCount val="1"/>
                <c:pt idx="0">
                  <c:v>La Salle</c:v>
                </c:pt>
              </c:strCache>
            </c:strRef>
          </c:tx>
          <c:spPr>
            <a:ln w="28575" cap="rnd">
              <a:solidFill>
                <a:schemeClr val="accent1"/>
              </a:solidFill>
              <a:round/>
            </a:ln>
            <a:effectLst/>
          </c:spPr>
          <c:marker>
            <c:symbol val="none"/>
          </c:marker>
          <c:dLbls>
            <c:dLbl>
              <c:idx val="1"/>
              <c:layout>
                <c:manualLayout>
                  <c:x val="-3.4542308071694235E-2"/>
                  <c:y val="-2.48447123963703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884-4191-A9B9-49852177FF9D}"/>
                </c:ext>
              </c:extLst>
            </c:dLbl>
            <c:dLbl>
              <c:idx val="2"/>
              <c:layout>
                <c:manualLayout>
                  <c:x val="-1.3816923228677695E-2"/>
                  <c:y val="-3.72670685945555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884-4191-A9B9-49852177FF9D}"/>
                </c:ext>
              </c:extLst>
            </c:dLbl>
            <c:dLbl>
              <c:idx val="3"/>
              <c:layout>
                <c:manualLayout>
                  <c:x val="-2.763384645735539E-2"/>
                  <c:y val="-4.14078539939506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884-4191-A9B9-49852177FF9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2'!$B$68:$F$68</c:f>
              <c:numCache>
                <c:formatCode>General</c:formatCode>
                <c:ptCount val="5"/>
                <c:pt idx="0">
                  <c:v>2014</c:v>
                </c:pt>
                <c:pt idx="1">
                  <c:v>2015</c:v>
                </c:pt>
                <c:pt idx="2">
                  <c:v>2016</c:v>
                </c:pt>
                <c:pt idx="3">
                  <c:v>2017</c:v>
                </c:pt>
                <c:pt idx="4">
                  <c:v>2018</c:v>
                </c:pt>
              </c:numCache>
            </c:numRef>
          </c:cat>
          <c:val>
            <c:numRef>
              <c:f>'Gráficos 2'!$B$69:$F$69</c:f>
              <c:numCache>
                <c:formatCode>#,##0</c:formatCode>
                <c:ptCount val="5"/>
                <c:pt idx="0" formatCode="General">
                  <c:v>7</c:v>
                </c:pt>
                <c:pt idx="1">
                  <c:v>23</c:v>
                </c:pt>
                <c:pt idx="2">
                  <c:v>12</c:v>
                </c:pt>
                <c:pt idx="3">
                  <c:v>14</c:v>
                </c:pt>
                <c:pt idx="4">
                  <c:v>18</c:v>
                </c:pt>
              </c:numCache>
            </c:numRef>
          </c:val>
          <c:smooth val="0"/>
          <c:extLst>
            <c:ext xmlns:c16="http://schemas.microsoft.com/office/drawing/2014/chart" uri="{C3380CC4-5D6E-409C-BE32-E72D297353CC}">
              <c16:uniqueId val="{00000003-3884-4191-A9B9-49852177FF9D}"/>
            </c:ext>
          </c:extLst>
        </c:ser>
        <c:ser>
          <c:idx val="1"/>
          <c:order val="1"/>
          <c:tx>
            <c:strRef>
              <c:f>'Gráficos 2'!$A$70</c:f>
              <c:strCache>
                <c:ptCount val="1"/>
                <c:pt idx="0">
                  <c:v>Tec de Monterrey </c:v>
                </c:pt>
              </c:strCache>
            </c:strRef>
          </c:tx>
          <c:spPr>
            <a:ln w="28575" cap="rnd">
              <a:solidFill>
                <a:schemeClr val="accent2"/>
              </a:solidFill>
              <a:round/>
            </a:ln>
            <a:effectLst/>
          </c:spPr>
          <c:marker>
            <c:symbol val="none"/>
          </c:marker>
          <c:dLbls>
            <c:dLbl>
              <c:idx val="0"/>
              <c:layout>
                <c:manualLayout>
                  <c:x val="-4.8359231300371931E-2"/>
                  <c:y val="-8.28157079879010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884-4191-A9B9-49852177FF9D}"/>
                </c:ext>
              </c:extLst>
            </c:dLbl>
            <c:dLbl>
              <c:idx val="1"/>
              <c:layout>
                <c:manualLayout>
                  <c:x val="-6.9084616143388899E-3"/>
                  <c:y val="3.7267068594555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84-4191-A9B9-49852177FF9D}"/>
                </c:ext>
              </c:extLst>
            </c:dLbl>
            <c:dLbl>
              <c:idx val="2"/>
              <c:layout>
                <c:manualLayout>
                  <c:x val="-2.3028205381129493E-3"/>
                  <c:y val="3.31262831951604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884-4191-A9B9-49852177FF9D}"/>
                </c:ext>
              </c:extLst>
            </c:dLbl>
            <c:dLbl>
              <c:idx val="3"/>
              <c:layout>
                <c:manualLayout>
                  <c:x val="0"/>
                  <c:y val="3.7267068594555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884-4191-A9B9-49852177FF9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2'!$B$68:$F$68</c:f>
              <c:numCache>
                <c:formatCode>General</c:formatCode>
                <c:ptCount val="5"/>
                <c:pt idx="0">
                  <c:v>2014</c:v>
                </c:pt>
                <c:pt idx="1">
                  <c:v>2015</c:v>
                </c:pt>
                <c:pt idx="2">
                  <c:v>2016</c:v>
                </c:pt>
                <c:pt idx="3">
                  <c:v>2017</c:v>
                </c:pt>
                <c:pt idx="4">
                  <c:v>2018</c:v>
                </c:pt>
              </c:numCache>
            </c:numRef>
          </c:cat>
          <c:val>
            <c:numRef>
              <c:f>'Gráficos 2'!$B$70:$F$70</c:f>
              <c:numCache>
                <c:formatCode>#,##0</c:formatCode>
                <c:ptCount val="5"/>
                <c:pt idx="0" formatCode="General">
                  <c:v>12</c:v>
                </c:pt>
                <c:pt idx="1">
                  <c:v>10</c:v>
                </c:pt>
                <c:pt idx="2">
                  <c:v>10</c:v>
                </c:pt>
                <c:pt idx="3">
                  <c:v>11</c:v>
                </c:pt>
                <c:pt idx="4">
                  <c:v>11</c:v>
                </c:pt>
              </c:numCache>
            </c:numRef>
          </c:val>
          <c:smooth val="0"/>
          <c:extLst>
            <c:ext xmlns:c16="http://schemas.microsoft.com/office/drawing/2014/chart" uri="{C3380CC4-5D6E-409C-BE32-E72D297353CC}">
              <c16:uniqueId val="{00000008-3884-4191-A9B9-49852177FF9D}"/>
            </c:ext>
          </c:extLst>
        </c:ser>
        <c:ser>
          <c:idx val="2"/>
          <c:order val="2"/>
          <c:tx>
            <c:strRef>
              <c:f>'Gráficos 2'!$A$71</c:f>
              <c:strCache>
                <c:ptCount val="1"/>
                <c:pt idx="0">
                  <c:v>UAG </c:v>
                </c:pt>
              </c:strCache>
            </c:strRef>
          </c:tx>
          <c:spPr>
            <a:ln w="28575" cap="rnd">
              <a:solidFill>
                <a:schemeClr val="accent3"/>
              </a:solidFill>
              <a:round/>
            </a:ln>
            <a:effectLst/>
          </c:spPr>
          <c:marker>
            <c:symbol val="none"/>
          </c:marker>
          <c:dLbls>
            <c:dLbl>
              <c:idx val="0"/>
              <c:layout>
                <c:manualLayout>
                  <c:x val="0"/>
                  <c:y val="-2.07039269969754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884-4191-A9B9-49852177FF9D}"/>
                </c:ext>
              </c:extLst>
            </c:dLbl>
            <c:dLbl>
              <c:idx val="1"/>
              <c:layout>
                <c:manualLayout>
                  <c:x val="0"/>
                  <c:y val="-2.89854977957655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884-4191-A9B9-49852177FF9D}"/>
                </c:ext>
              </c:extLst>
            </c:dLbl>
            <c:dLbl>
              <c:idx val="2"/>
              <c:layout>
                <c:manualLayout>
                  <c:x val="0"/>
                  <c:y val="-2.48447123963703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884-4191-A9B9-49852177FF9D}"/>
                </c:ext>
              </c:extLst>
            </c:dLbl>
            <c:dLbl>
              <c:idx val="3"/>
              <c:layout>
                <c:manualLayout>
                  <c:x val="0"/>
                  <c:y val="-4.02886125720771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884-4191-A9B9-49852177FF9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2'!$B$68:$F$68</c:f>
              <c:numCache>
                <c:formatCode>General</c:formatCode>
                <c:ptCount val="5"/>
                <c:pt idx="0">
                  <c:v>2014</c:v>
                </c:pt>
                <c:pt idx="1">
                  <c:v>2015</c:v>
                </c:pt>
                <c:pt idx="2">
                  <c:v>2016</c:v>
                </c:pt>
                <c:pt idx="3">
                  <c:v>2017</c:v>
                </c:pt>
                <c:pt idx="4">
                  <c:v>2018</c:v>
                </c:pt>
              </c:numCache>
            </c:numRef>
          </c:cat>
          <c:val>
            <c:numRef>
              <c:f>'Gráficos 2'!$B$71:$F$71</c:f>
              <c:numCache>
                <c:formatCode>#,##0</c:formatCode>
                <c:ptCount val="5"/>
                <c:pt idx="0" formatCode="General">
                  <c:v>1</c:v>
                </c:pt>
                <c:pt idx="1">
                  <c:v>0</c:v>
                </c:pt>
                <c:pt idx="2">
                  <c:v>0</c:v>
                </c:pt>
                <c:pt idx="3">
                  <c:v>0</c:v>
                </c:pt>
                <c:pt idx="4">
                  <c:v>1</c:v>
                </c:pt>
              </c:numCache>
            </c:numRef>
          </c:val>
          <c:smooth val="0"/>
          <c:extLst>
            <c:ext xmlns:c16="http://schemas.microsoft.com/office/drawing/2014/chart" uri="{C3380CC4-5D6E-409C-BE32-E72D297353CC}">
              <c16:uniqueId val="{0000000D-3884-4191-A9B9-49852177FF9D}"/>
            </c:ext>
          </c:extLst>
        </c:ser>
        <c:ser>
          <c:idx val="3"/>
          <c:order val="3"/>
          <c:tx>
            <c:strRef>
              <c:f>'Gráficos 2'!$A$72</c:f>
              <c:strCache>
                <c:ptCount val="1"/>
                <c:pt idx="0">
                  <c:v>U Monterrey </c:v>
                </c:pt>
              </c:strCache>
            </c:strRef>
          </c:tx>
          <c:spPr>
            <a:ln w="28575" cap="rnd">
              <a:solidFill>
                <a:schemeClr val="accent4"/>
              </a:solidFill>
              <a:round/>
            </a:ln>
            <a:effectLst/>
          </c:spPr>
          <c:marker>
            <c:symbol val="none"/>
          </c:marker>
          <c:dLbls>
            <c:dLbl>
              <c:idx val="0"/>
              <c:layout>
                <c:manualLayout>
                  <c:x val="-9.2112821524517972E-3"/>
                  <c:y val="-4.96894247927406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884-4191-A9B9-49852177FF9D}"/>
                </c:ext>
              </c:extLst>
            </c:dLbl>
            <c:dLbl>
              <c:idx val="1"/>
              <c:layout>
                <c:manualLayout>
                  <c:x val="-1.1514102690564746E-2"/>
                  <c:y val="1.24223561981851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884-4191-A9B9-49852177FF9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2'!$B$68:$F$68</c:f>
              <c:numCache>
                <c:formatCode>General</c:formatCode>
                <c:ptCount val="5"/>
                <c:pt idx="0">
                  <c:v>2014</c:v>
                </c:pt>
                <c:pt idx="1">
                  <c:v>2015</c:v>
                </c:pt>
                <c:pt idx="2">
                  <c:v>2016</c:v>
                </c:pt>
                <c:pt idx="3">
                  <c:v>2017</c:v>
                </c:pt>
                <c:pt idx="4">
                  <c:v>2018</c:v>
                </c:pt>
              </c:numCache>
            </c:numRef>
          </c:cat>
          <c:val>
            <c:numRef>
              <c:f>'Gráficos 2'!$B$72:$F$72</c:f>
              <c:numCache>
                <c:formatCode>#,##0</c:formatCode>
                <c:ptCount val="5"/>
                <c:pt idx="0" formatCode="General">
                  <c:v>15</c:v>
                </c:pt>
                <c:pt idx="1">
                  <c:v>16</c:v>
                </c:pt>
                <c:pt idx="2">
                  <c:v>21</c:v>
                </c:pt>
                <c:pt idx="3">
                  <c:v>28</c:v>
                </c:pt>
                <c:pt idx="4">
                  <c:v>20</c:v>
                </c:pt>
              </c:numCache>
            </c:numRef>
          </c:val>
          <c:smooth val="0"/>
          <c:extLst>
            <c:ext xmlns:c16="http://schemas.microsoft.com/office/drawing/2014/chart" uri="{C3380CC4-5D6E-409C-BE32-E72D297353CC}">
              <c16:uniqueId val="{00000010-3884-4191-A9B9-49852177FF9D}"/>
            </c:ext>
          </c:extLst>
        </c:ser>
        <c:dLbls>
          <c:showLegendKey val="0"/>
          <c:showVal val="1"/>
          <c:showCatName val="0"/>
          <c:showSerName val="0"/>
          <c:showPercent val="0"/>
          <c:showBubbleSize val="0"/>
        </c:dLbls>
        <c:smooth val="0"/>
        <c:axId val="798398160"/>
        <c:axId val="798398720"/>
      </c:lineChart>
      <c:catAx>
        <c:axId val="798398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98720"/>
        <c:crosses val="autoZero"/>
        <c:auto val="1"/>
        <c:lblAlgn val="ctr"/>
        <c:lblOffset val="100"/>
        <c:noMultiLvlLbl val="0"/>
      </c:catAx>
      <c:valAx>
        <c:axId val="7983987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79839816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'Pediatria '!$A$49</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'Pediatria '!$B$48:$H$48</c:f>
              <c:numCache>
                <c:formatCode>General</c:formatCode>
                <c:ptCount val="7"/>
                <c:pt idx="0">
                  <c:v>2012</c:v>
                </c:pt>
                <c:pt idx="1">
                  <c:v>2013</c:v>
                </c:pt>
                <c:pt idx="2">
                  <c:v>2014</c:v>
                </c:pt>
                <c:pt idx="3">
                  <c:v>2015</c:v>
                </c:pt>
                <c:pt idx="4">
                  <c:v>2016</c:v>
                </c:pt>
                <c:pt idx="5">
                  <c:v>2017</c:v>
                </c:pt>
                <c:pt idx="6">
                  <c:v>2018</c:v>
                </c:pt>
              </c:numCache>
            </c:numRef>
          </c:cat>
          <c:val>
            <c:numRef>
              <c:f>'Pediatria '!$B$49:$H$49</c:f>
              <c:numCache>
                <c:formatCode>General</c:formatCode>
                <c:ptCount val="7"/>
                <c:pt idx="0">
                  <c:v>13</c:v>
                </c:pt>
                <c:pt idx="1">
                  <c:v>13</c:v>
                </c:pt>
                <c:pt idx="2">
                  <c:v>5</c:v>
                </c:pt>
                <c:pt idx="3">
                  <c:v>10</c:v>
                </c:pt>
                <c:pt idx="4">
                  <c:v>10</c:v>
                </c:pt>
                <c:pt idx="5">
                  <c:v>13</c:v>
                </c:pt>
                <c:pt idx="6">
                  <c:v>13</c:v>
                </c:pt>
              </c:numCache>
            </c:numRef>
          </c:val>
          <c:extLst>
            <c:ext xmlns:c16="http://schemas.microsoft.com/office/drawing/2014/chart" uri="{C3380CC4-5D6E-409C-BE32-E72D297353CC}">
              <c16:uniqueId val="{00000000-407C-456C-8CDB-C4F90E659892}"/>
            </c:ext>
          </c:extLst>
        </c:ser>
        <c:ser>
          <c:idx val="1"/>
          <c:order val="1"/>
          <c:tx>
            <c:strRef>
              <c:f>'Pediatria '!$A$50</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'Pediatria '!$B$48:$H$48</c:f>
              <c:numCache>
                <c:formatCode>General</c:formatCode>
                <c:ptCount val="7"/>
                <c:pt idx="0">
                  <c:v>2012</c:v>
                </c:pt>
                <c:pt idx="1">
                  <c:v>2013</c:v>
                </c:pt>
                <c:pt idx="2">
                  <c:v>2014</c:v>
                </c:pt>
                <c:pt idx="3">
                  <c:v>2015</c:v>
                </c:pt>
                <c:pt idx="4">
                  <c:v>2016</c:v>
                </c:pt>
                <c:pt idx="5">
                  <c:v>2017</c:v>
                </c:pt>
                <c:pt idx="6">
                  <c:v>2018</c:v>
                </c:pt>
              </c:numCache>
            </c:numRef>
          </c:cat>
          <c:val>
            <c:numRef>
              <c:f>'Pediatria '!$B$50:$H$50</c:f>
              <c:numCache>
                <c:formatCode>General</c:formatCode>
                <c:ptCount val="7"/>
                <c:pt idx="0">
                  <c:v>34</c:v>
                </c:pt>
                <c:pt idx="1">
                  <c:v>37</c:v>
                </c:pt>
                <c:pt idx="2">
                  <c:v>14</c:v>
                </c:pt>
                <c:pt idx="3">
                  <c:v>34</c:v>
                </c:pt>
                <c:pt idx="4">
                  <c:v>17</c:v>
                </c:pt>
                <c:pt idx="5">
                  <c:v>36</c:v>
                </c:pt>
                <c:pt idx="6">
                  <c:v>40</c:v>
                </c:pt>
              </c:numCache>
            </c:numRef>
          </c:val>
          <c:extLst>
            <c:ext xmlns:c16="http://schemas.microsoft.com/office/drawing/2014/chart" uri="{C3380CC4-5D6E-409C-BE32-E72D297353CC}">
              <c16:uniqueId val="{00000001-407C-456C-8CDB-C4F90E659892}"/>
            </c:ext>
          </c:extLst>
        </c:ser>
        <c:ser>
          <c:idx val="2"/>
          <c:order val="2"/>
          <c:tx>
            <c:strRef>
              <c:f>'Pediatria '!$A$51</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'Pediatria '!$B$48:$H$48</c:f>
              <c:numCache>
                <c:formatCode>General</c:formatCode>
                <c:ptCount val="7"/>
                <c:pt idx="0">
                  <c:v>2012</c:v>
                </c:pt>
                <c:pt idx="1">
                  <c:v>2013</c:v>
                </c:pt>
                <c:pt idx="2">
                  <c:v>2014</c:v>
                </c:pt>
                <c:pt idx="3">
                  <c:v>2015</c:v>
                </c:pt>
                <c:pt idx="4">
                  <c:v>2016</c:v>
                </c:pt>
                <c:pt idx="5">
                  <c:v>2017</c:v>
                </c:pt>
                <c:pt idx="6">
                  <c:v>2018</c:v>
                </c:pt>
              </c:numCache>
            </c:numRef>
          </c:cat>
          <c:val>
            <c:numRef>
              <c:f>'Pediatria '!$B$51:$H$51</c:f>
              <c:numCache>
                <c:formatCode>General</c:formatCode>
                <c:ptCount val="7"/>
                <c:pt idx="0">
                  <c:v>14</c:v>
                </c:pt>
                <c:pt idx="1">
                  <c:v>12</c:v>
                </c:pt>
                <c:pt idx="2">
                  <c:v>9</c:v>
                </c:pt>
                <c:pt idx="3">
                  <c:v>7</c:v>
                </c:pt>
                <c:pt idx="4">
                  <c:v>12</c:v>
                </c:pt>
                <c:pt idx="5">
                  <c:v>12</c:v>
                </c:pt>
                <c:pt idx="6">
                  <c:v>10</c:v>
                </c:pt>
              </c:numCache>
            </c:numRef>
          </c:val>
          <c:extLst>
            <c:ext xmlns:c16="http://schemas.microsoft.com/office/drawing/2014/chart" uri="{C3380CC4-5D6E-409C-BE32-E72D297353CC}">
              <c16:uniqueId val="{00000002-407C-456C-8CDB-C4F90E659892}"/>
            </c:ext>
          </c:extLst>
        </c:ser>
        <c:dLbls>
          <c:showLegendKey val="0"/>
          <c:showVal val="0"/>
          <c:showCatName val="0"/>
          <c:showSerName val="0"/>
          <c:showPercent val="0"/>
          <c:showBubbleSize val="0"/>
        </c:dLbls>
        <c:gapWidth val="219"/>
        <c:overlap val="-27"/>
        <c:axId val="301988640"/>
        <c:axId val="301990936"/>
      </c:barChart>
      <c:catAx>
        <c:axId val="301988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01990936"/>
        <c:crosses val="autoZero"/>
        <c:auto val="1"/>
        <c:lblAlgn val="ctr"/>
        <c:lblOffset val="100"/>
        <c:noMultiLvlLbl val="0"/>
      </c:catAx>
      <c:valAx>
        <c:axId val="301990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019886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8.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D7A900-E3BA-4815-9B12-6B59568D7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65</Pages>
  <Words>16949</Words>
  <Characters>93221</Characters>
  <Application>Microsoft Office Word</Application>
  <DocSecurity>0</DocSecurity>
  <Lines>776</Lines>
  <Paragraphs>219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Aram Isai Ramos</dc:creator>
  <cp:keywords/>
  <dc:description/>
  <cp:lastModifiedBy>Jessica Zaragoza</cp:lastModifiedBy>
  <cp:revision>8</cp:revision>
  <dcterms:created xsi:type="dcterms:W3CDTF">2019-08-15T20:28:00Z</dcterms:created>
  <dcterms:modified xsi:type="dcterms:W3CDTF">2019-08-15T21:23:00Z</dcterms:modified>
</cp:coreProperties>
</file>